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6C5A9">
      <w:pPr>
        <w:ind w:left="1318" w:leftChars="418" w:hanging="440" w:hangingChars="1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资阳市中心医院污水在线监测设备</w:t>
      </w:r>
    </w:p>
    <w:p w14:paraId="3E876ECC">
      <w:pPr>
        <w:ind w:left="1317" w:leftChars="627" w:firstLine="440" w:firstLineChars="1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运维服务市场询价公告</w:t>
      </w:r>
    </w:p>
    <w:p w14:paraId="1902A2CF">
      <w:pPr>
        <w:ind w:left="1317" w:leftChars="627" w:firstLine="0" w:firstLineChars="0"/>
        <w:rPr>
          <w:rFonts w:hint="eastAsia" w:ascii="仿宋" w:hAnsi="仿宋" w:eastAsia="仿宋" w:cs="仿宋"/>
          <w:sz w:val="44"/>
          <w:szCs w:val="44"/>
          <w:lang w:val="en-US" w:eastAsia="zh-CN"/>
        </w:rPr>
      </w:pPr>
    </w:p>
    <w:p w14:paraId="69F0C528">
      <w:pPr>
        <w:numPr>
          <w:ilvl w:val="0"/>
          <w:numId w:val="0"/>
        </w:numPr>
        <w:rPr>
          <w:rFonts w:hint="eastAsia"/>
          <w:b/>
          <w:bCs/>
          <w:sz w:val="30"/>
          <w:szCs w:val="30"/>
          <w:lang w:val="en-US" w:eastAsia="zh-CN"/>
        </w:rPr>
      </w:pPr>
      <w:r>
        <w:rPr>
          <w:rFonts w:hint="eastAsia" w:asciiTheme="minorAscii" w:hAnsiTheme="minorAscii" w:eastAsiaTheme="minorEastAsia" w:cstheme="minorBidi"/>
          <w:b/>
          <w:bCs/>
          <w:kern w:val="2"/>
          <w:sz w:val="30"/>
          <w:szCs w:val="30"/>
          <w:lang w:val="en-US" w:eastAsia="zh-CN" w:bidi="ar-SA"/>
        </w:rPr>
        <w:t>一、</w:t>
      </w:r>
      <w:r>
        <w:rPr>
          <w:rFonts w:hint="eastAsia"/>
          <w:b/>
          <w:bCs/>
          <w:sz w:val="30"/>
          <w:szCs w:val="30"/>
          <w:lang w:val="en-US" w:eastAsia="zh-CN"/>
        </w:rPr>
        <w:t>项目名称</w:t>
      </w:r>
    </w:p>
    <w:p w14:paraId="4D59A4E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资阳市中心医院污水在线监测设备运维服务市场询价公告</w:t>
      </w:r>
    </w:p>
    <w:p w14:paraId="296C7479">
      <w:pPr>
        <w:numPr>
          <w:ilvl w:val="0"/>
          <w:numId w:val="0"/>
        </w:numPr>
        <w:rPr>
          <w:rFonts w:hint="eastAsia"/>
          <w:b/>
          <w:bCs/>
          <w:sz w:val="30"/>
          <w:szCs w:val="30"/>
          <w:lang w:val="en-US" w:eastAsia="zh-CN"/>
        </w:rPr>
      </w:pPr>
      <w:r>
        <w:rPr>
          <w:rFonts w:hint="eastAsia" w:asciiTheme="minorAscii" w:hAnsiTheme="minorAscii" w:eastAsiaTheme="minorEastAsia" w:cstheme="minorBidi"/>
          <w:b/>
          <w:bCs/>
          <w:kern w:val="2"/>
          <w:sz w:val="30"/>
          <w:szCs w:val="30"/>
          <w:lang w:val="en-US" w:eastAsia="zh-CN" w:bidi="ar-SA"/>
        </w:rPr>
        <w:t>二、</w:t>
      </w:r>
      <w:r>
        <w:rPr>
          <w:rFonts w:hint="eastAsia"/>
          <w:b/>
          <w:bCs/>
          <w:sz w:val="30"/>
          <w:szCs w:val="30"/>
          <w:lang w:val="en-US" w:eastAsia="zh-CN"/>
        </w:rPr>
        <w:t>项目概况</w:t>
      </w:r>
    </w:p>
    <w:p w14:paraId="64D80E61">
      <w:pPr>
        <w:numPr>
          <w:ilvl w:val="0"/>
          <w:numId w:val="0"/>
        </w:numPr>
        <w:ind w:leftChars="0" w:firstLine="525"/>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我院因工作需要，</w:t>
      </w:r>
      <w:r>
        <w:rPr>
          <w:rFonts w:hint="eastAsia" w:ascii="仿宋" w:hAnsi="仿宋" w:eastAsia="仿宋" w:cs="仿宋"/>
          <w:color w:val="000000"/>
          <w:sz w:val="32"/>
          <w:szCs w:val="32"/>
          <w:highlight w:val="none"/>
        </w:rPr>
        <w:t>拟采购一家</w:t>
      </w:r>
      <w:r>
        <w:rPr>
          <w:rFonts w:hint="eastAsia" w:ascii="仿宋" w:hAnsi="仿宋" w:eastAsia="仿宋" w:cs="仿宋"/>
          <w:color w:val="000000"/>
          <w:sz w:val="32"/>
          <w:szCs w:val="32"/>
          <w:highlight w:val="none"/>
          <w:lang w:val="en-US" w:eastAsia="zh-CN"/>
        </w:rPr>
        <w:t>污水在线监测设备运维服务商，</w:t>
      </w:r>
      <w:r>
        <w:rPr>
          <w:rFonts w:hint="eastAsia" w:ascii="仿宋" w:hAnsi="仿宋" w:eastAsia="仿宋" w:cs="仿宋"/>
          <w:sz w:val="30"/>
          <w:szCs w:val="30"/>
          <w:lang w:val="en-US" w:eastAsia="zh-CN"/>
        </w:rPr>
        <w:t>特邀符合要求的供应商参加此次市场询价。</w:t>
      </w:r>
    </w:p>
    <w:p w14:paraId="46E51F26">
      <w:pPr>
        <w:numPr>
          <w:ilvl w:val="0"/>
          <w:numId w:val="0"/>
        </w:numPr>
        <w:rPr>
          <w:rFonts w:hint="eastAsia" w:ascii="黑体" w:hAnsi="黑体" w:eastAsia="黑体" w:cs="黑体"/>
          <w:b/>
          <w:bCs/>
          <w:i w:val="0"/>
          <w:iCs w:val="0"/>
          <w:caps w:val="0"/>
          <w:color w:val="555555"/>
          <w:spacing w:val="0"/>
          <w:sz w:val="30"/>
          <w:szCs w:val="30"/>
          <w:shd w:val="clear" w:fill="FFFFFF"/>
        </w:rPr>
      </w:pPr>
      <w:r>
        <w:rPr>
          <w:rFonts w:hint="eastAsia" w:ascii="黑体" w:hAnsi="黑体" w:eastAsia="黑体" w:cs="黑体"/>
          <w:b/>
          <w:bCs/>
          <w:i w:val="0"/>
          <w:iCs w:val="0"/>
          <w:caps w:val="0"/>
          <w:color w:val="555555"/>
          <w:spacing w:val="0"/>
          <w:sz w:val="30"/>
          <w:szCs w:val="30"/>
          <w:shd w:val="clear" w:fill="FFFFFF"/>
          <w:lang w:val="en-US" w:eastAsia="zh-CN"/>
        </w:rPr>
        <w:t>三、</w:t>
      </w:r>
      <w:r>
        <w:rPr>
          <w:rFonts w:hint="eastAsia" w:ascii="黑体" w:hAnsi="黑体" w:eastAsia="黑体" w:cs="黑体"/>
          <w:b/>
          <w:bCs/>
          <w:i w:val="0"/>
          <w:iCs w:val="0"/>
          <w:caps w:val="0"/>
          <w:color w:val="555555"/>
          <w:spacing w:val="0"/>
          <w:sz w:val="30"/>
          <w:szCs w:val="30"/>
          <w:shd w:val="clear" w:fill="FFFFFF"/>
        </w:rPr>
        <w:t xml:space="preserve">供应商具备的资质 </w:t>
      </w:r>
    </w:p>
    <w:p w14:paraId="7CB31F9F">
      <w:pPr>
        <w:numPr>
          <w:ilvl w:val="0"/>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lang w:val="en-US" w:eastAsia="zh-CN"/>
        </w:rPr>
        <w:t>1</w:t>
      </w:r>
      <w:r>
        <w:rPr>
          <w:rFonts w:hint="eastAsia" w:ascii="宋体" w:hAnsi="宋体" w:cs="宋体"/>
          <w:b w:val="0"/>
          <w:bCs w:val="0"/>
          <w:i w:val="0"/>
          <w:iCs w:val="0"/>
          <w:caps w:val="0"/>
          <w:color w:val="555555"/>
          <w:spacing w:val="0"/>
          <w:sz w:val="32"/>
          <w:szCs w:val="32"/>
          <w:shd w:val="clear" w:fill="FFFFFF"/>
          <w:lang w:val="en-US" w:eastAsia="zh-CN"/>
        </w:rPr>
        <w:t>.</w:t>
      </w:r>
      <w:r>
        <w:rPr>
          <w:rFonts w:hint="eastAsia" w:ascii="宋体" w:hAnsi="宋体" w:eastAsia="宋体" w:cs="宋体"/>
          <w:b w:val="0"/>
          <w:bCs w:val="0"/>
          <w:i w:val="0"/>
          <w:iCs w:val="0"/>
          <w:caps w:val="0"/>
          <w:color w:val="555555"/>
          <w:spacing w:val="0"/>
          <w:sz w:val="32"/>
          <w:szCs w:val="32"/>
          <w:shd w:val="clear" w:fill="FFFFFF"/>
        </w:rPr>
        <w:t xml:space="preserve">具有独立履行民事责任的主体资格； </w:t>
      </w:r>
    </w:p>
    <w:p w14:paraId="3F3ECD2E">
      <w:pPr>
        <w:pStyle w:val="6"/>
        <w:numPr>
          <w:ilvl w:val="4"/>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rPr>
        <w:t xml:space="preserve">2.遵守国家法律法规，具有良好的信誉和诚实的商业道德； </w:t>
      </w:r>
    </w:p>
    <w:p w14:paraId="5AB9A42A">
      <w:pPr>
        <w:pStyle w:val="6"/>
        <w:numPr>
          <w:ilvl w:val="4"/>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rPr>
        <w:t>3.具有履行合同的能力；</w:t>
      </w:r>
    </w:p>
    <w:p w14:paraId="613CA365">
      <w:pPr>
        <w:pStyle w:val="6"/>
        <w:numPr>
          <w:ilvl w:val="4"/>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rPr>
        <w:t>4.所供</w:t>
      </w:r>
      <w:r>
        <w:rPr>
          <w:rFonts w:hint="eastAsia" w:ascii="宋体" w:hAnsi="宋体" w:eastAsia="宋体" w:cs="宋体"/>
          <w:b w:val="0"/>
          <w:bCs w:val="0"/>
          <w:i w:val="0"/>
          <w:iCs w:val="0"/>
          <w:caps w:val="0"/>
          <w:color w:val="555555"/>
          <w:spacing w:val="0"/>
          <w:sz w:val="32"/>
          <w:szCs w:val="32"/>
          <w:shd w:val="clear" w:fill="FFFFFF"/>
          <w:lang w:val="en-US" w:eastAsia="zh-CN"/>
        </w:rPr>
        <w:t>服务</w:t>
      </w:r>
      <w:r>
        <w:rPr>
          <w:rFonts w:hint="eastAsia" w:ascii="宋体" w:hAnsi="宋体" w:eastAsia="宋体" w:cs="宋体"/>
          <w:b w:val="0"/>
          <w:bCs w:val="0"/>
          <w:i w:val="0"/>
          <w:iCs w:val="0"/>
          <w:caps w:val="0"/>
          <w:color w:val="555555"/>
          <w:spacing w:val="0"/>
          <w:sz w:val="32"/>
          <w:szCs w:val="32"/>
          <w:shd w:val="clear" w:fill="FFFFFF"/>
        </w:rPr>
        <w:t xml:space="preserve">符合国家、行业标准； </w:t>
      </w:r>
    </w:p>
    <w:p w14:paraId="5C2ABCEE">
      <w:pPr>
        <w:pStyle w:val="6"/>
        <w:numPr>
          <w:ilvl w:val="4"/>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rPr>
        <w:t>5.参加政府采购活动三年内，在经营活动中无重大违法记录；</w:t>
      </w:r>
    </w:p>
    <w:p w14:paraId="0A8BEDBD">
      <w:pPr>
        <w:pStyle w:val="6"/>
        <w:numPr>
          <w:ilvl w:val="4"/>
          <w:numId w:val="0"/>
        </w:numPr>
        <w:rPr>
          <w:rFonts w:hint="eastAsia" w:ascii="宋体" w:hAnsi="宋体" w:eastAsia="宋体" w:cs="宋体"/>
          <w:b w:val="0"/>
          <w:bCs w:val="0"/>
          <w:i w:val="0"/>
          <w:iCs w:val="0"/>
          <w:caps w:val="0"/>
          <w:color w:val="555555"/>
          <w:spacing w:val="0"/>
          <w:sz w:val="32"/>
          <w:szCs w:val="32"/>
          <w:shd w:val="clear" w:fill="FFFFFF"/>
        </w:rPr>
      </w:pPr>
      <w:r>
        <w:rPr>
          <w:rFonts w:hint="eastAsia" w:ascii="宋体" w:hAnsi="宋体" w:eastAsia="宋体" w:cs="宋体"/>
          <w:b w:val="0"/>
          <w:bCs w:val="0"/>
          <w:i w:val="0"/>
          <w:iCs w:val="0"/>
          <w:caps w:val="0"/>
          <w:color w:val="555555"/>
          <w:spacing w:val="0"/>
          <w:sz w:val="32"/>
          <w:szCs w:val="32"/>
          <w:shd w:val="clear" w:fill="FFFFFF"/>
        </w:rPr>
        <w:t>6.法律、行政法规规定的其他条件；</w:t>
      </w:r>
    </w:p>
    <w:p w14:paraId="76CCDA37">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i w:val="0"/>
          <w:iCs w:val="0"/>
          <w:caps w:val="0"/>
          <w:color w:val="555555"/>
          <w:spacing w:val="0"/>
          <w:sz w:val="32"/>
          <w:szCs w:val="32"/>
          <w:shd w:val="clear" w:fill="FFFFFF"/>
        </w:rPr>
        <w:t>供应商</w:t>
      </w:r>
      <w:r>
        <w:rPr>
          <w:rFonts w:hint="eastAsia" w:ascii="仿宋" w:hAnsi="仿宋" w:eastAsia="仿宋" w:cs="仿宋"/>
          <w:b w:val="0"/>
          <w:bCs w:val="0"/>
          <w:i w:val="0"/>
          <w:iCs w:val="0"/>
          <w:caps w:val="0"/>
          <w:color w:val="555555"/>
          <w:spacing w:val="0"/>
          <w:sz w:val="32"/>
          <w:szCs w:val="32"/>
          <w:shd w:val="clear" w:fill="FFFFFF"/>
          <w:lang w:val="en-US" w:eastAsia="zh-CN"/>
        </w:rPr>
        <w:t>运维人员</w:t>
      </w:r>
      <w:r>
        <w:rPr>
          <w:rFonts w:hint="eastAsia" w:ascii="仿宋" w:hAnsi="仿宋" w:eastAsia="仿宋" w:cs="仿宋"/>
          <w:b w:val="0"/>
          <w:bCs w:val="0"/>
          <w:i w:val="0"/>
          <w:iCs w:val="0"/>
          <w:caps w:val="0"/>
          <w:color w:val="555555"/>
          <w:spacing w:val="0"/>
          <w:sz w:val="32"/>
          <w:szCs w:val="32"/>
          <w:shd w:val="clear" w:fill="FFFFFF"/>
        </w:rPr>
        <w:t>具备</w:t>
      </w:r>
      <w:r>
        <w:rPr>
          <w:rFonts w:hint="eastAsia" w:ascii="仿宋" w:hAnsi="仿宋" w:eastAsia="仿宋" w:cs="仿宋"/>
          <w:b w:val="0"/>
          <w:bCs w:val="0"/>
          <w:i w:val="0"/>
          <w:iCs w:val="0"/>
          <w:caps w:val="0"/>
          <w:color w:val="555555"/>
          <w:spacing w:val="0"/>
          <w:sz w:val="32"/>
          <w:szCs w:val="32"/>
          <w:shd w:val="clear" w:fill="FFFFFF"/>
          <w:lang w:val="en-US" w:eastAsia="zh-CN"/>
        </w:rPr>
        <w:t>自动监控（水）运行工</w:t>
      </w:r>
      <w:r>
        <w:rPr>
          <w:rFonts w:hint="eastAsia" w:ascii="仿宋" w:hAnsi="仿宋" w:eastAsia="仿宋" w:cs="仿宋"/>
          <w:b w:val="0"/>
          <w:bCs w:val="0"/>
          <w:i w:val="0"/>
          <w:iCs w:val="0"/>
          <w:caps w:val="0"/>
          <w:color w:val="555555"/>
          <w:spacing w:val="0"/>
          <w:sz w:val="32"/>
          <w:szCs w:val="32"/>
          <w:shd w:val="clear" w:fill="FFFFFF"/>
        </w:rPr>
        <w:t>的资质</w:t>
      </w:r>
      <w:r>
        <w:rPr>
          <w:rFonts w:hint="eastAsia" w:ascii="仿宋" w:hAnsi="仿宋" w:eastAsia="仿宋" w:cs="仿宋"/>
          <w:b w:val="0"/>
          <w:bCs w:val="0"/>
          <w:i w:val="0"/>
          <w:iCs w:val="0"/>
          <w:caps w:val="0"/>
          <w:color w:val="555555"/>
          <w:spacing w:val="0"/>
          <w:sz w:val="32"/>
          <w:szCs w:val="32"/>
          <w:shd w:val="clear" w:fill="FFFFFF"/>
          <w:lang w:eastAsia="zh-CN"/>
        </w:rPr>
        <w:t>；</w:t>
      </w:r>
    </w:p>
    <w:p w14:paraId="20388B9A">
      <w:pPr>
        <w:rPr>
          <w:rFonts w:hint="eastAsia"/>
          <w:lang w:val="en-US" w:eastAsia="zh-CN"/>
        </w:rPr>
      </w:pPr>
    </w:p>
    <w:p w14:paraId="249C06AC">
      <w:pPr>
        <w:numPr>
          <w:ilvl w:val="0"/>
          <w:numId w:val="0"/>
        </w:numPr>
        <w:rPr>
          <w:rFonts w:hint="default"/>
          <w:b/>
          <w:bCs/>
          <w:sz w:val="30"/>
          <w:szCs w:val="30"/>
          <w:lang w:val="en-US" w:eastAsia="zh-CN"/>
        </w:rPr>
      </w:pPr>
      <w:r>
        <w:rPr>
          <w:rFonts w:hint="eastAsia" w:asciiTheme="minorAscii" w:hAnsiTheme="minorAscii" w:eastAsiaTheme="minorEastAsia" w:cstheme="minorBidi"/>
          <w:b/>
          <w:bCs/>
          <w:kern w:val="2"/>
          <w:sz w:val="30"/>
          <w:szCs w:val="30"/>
          <w:lang w:val="en-US" w:eastAsia="zh-CN" w:bidi="ar-SA"/>
        </w:rPr>
        <w:t>四、</w:t>
      </w:r>
      <w:r>
        <w:rPr>
          <w:rFonts w:hint="eastAsia"/>
          <w:b/>
          <w:bCs/>
          <w:sz w:val="30"/>
          <w:szCs w:val="30"/>
          <w:lang w:val="en-US" w:eastAsia="zh-CN"/>
        </w:rPr>
        <w:t>项目执行标准及服务年限</w:t>
      </w:r>
    </w:p>
    <w:p w14:paraId="47705403">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1、按照国家</w:t>
      </w:r>
      <w:r>
        <w:rPr>
          <w:rFonts w:hint="eastAsia" w:ascii="仿宋" w:hAnsi="仿宋" w:eastAsia="仿宋" w:cs="仿宋"/>
          <w:color w:val="000000"/>
          <w:sz w:val="32"/>
          <w:szCs w:val="32"/>
          <w:highlight w:val="none"/>
          <w:lang w:val="en-US" w:eastAsia="zh-CN"/>
        </w:rPr>
        <w:t>环保相关法律法规要求执行</w:t>
      </w:r>
      <w:r>
        <w:rPr>
          <w:rFonts w:hint="eastAsia" w:ascii="仿宋" w:hAnsi="仿宋" w:eastAsia="仿宋" w:cs="仿宋"/>
          <w:b w:val="0"/>
          <w:bCs w:val="0"/>
          <w:sz w:val="32"/>
          <w:szCs w:val="32"/>
          <w:lang w:val="en-US" w:eastAsia="zh-CN"/>
        </w:rPr>
        <w:t>。</w:t>
      </w:r>
    </w:p>
    <w:p w14:paraId="485EB804">
      <w:pPr>
        <w:numPr>
          <w:ilvl w:val="0"/>
          <w:numId w:val="0"/>
        </w:numPr>
        <w:rPr>
          <w:rFonts w:hint="default"/>
          <w:lang w:val="en-US" w:eastAsia="zh-CN"/>
        </w:rPr>
      </w:pPr>
      <w:r>
        <w:rPr>
          <w:rFonts w:hint="eastAsia" w:ascii="仿宋" w:hAnsi="仿宋" w:eastAsia="仿宋" w:cs="仿宋"/>
          <w:b w:val="0"/>
          <w:bCs w:val="0"/>
          <w:sz w:val="32"/>
          <w:szCs w:val="32"/>
          <w:lang w:val="en-US" w:eastAsia="zh-CN"/>
        </w:rPr>
        <w:t xml:space="preserve">  2、服务年限：3年。                                        </w:t>
      </w:r>
      <w:r>
        <w:rPr>
          <w:rFonts w:hint="eastAsia" w:ascii="仿宋" w:hAnsi="仿宋" w:eastAsia="仿宋" w:cs="仿宋"/>
          <w:b w:val="0"/>
          <w:bCs w:val="0"/>
          <w:sz w:val="30"/>
          <w:szCs w:val="30"/>
          <w:lang w:val="en-US" w:eastAsia="zh-CN"/>
        </w:rPr>
        <w:t xml:space="preserve">                   </w:t>
      </w:r>
    </w:p>
    <w:p w14:paraId="73A2940E">
      <w:pPr>
        <w:numPr>
          <w:ilvl w:val="0"/>
          <w:numId w:val="0"/>
        </w:numPr>
        <w:rPr>
          <w:rFonts w:hint="eastAsia"/>
          <w:b/>
          <w:bCs/>
          <w:sz w:val="30"/>
          <w:szCs w:val="30"/>
          <w:lang w:val="en-US" w:eastAsia="zh-CN"/>
        </w:rPr>
      </w:pPr>
      <w:r>
        <w:rPr>
          <w:rFonts w:hint="eastAsia" w:cs="Times New Roman"/>
          <w:b/>
          <w:bCs/>
          <w:kern w:val="2"/>
          <w:sz w:val="30"/>
          <w:szCs w:val="30"/>
          <w:lang w:val="en-US" w:eastAsia="zh-CN" w:bidi="ar-SA"/>
        </w:rPr>
        <w:t>五</w:t>
      </w:r>
      <w:r>
        <w:rPr>
          <w:rFonts w:hint="eastAsia" w:ascii="Calibri" w:hAnsi="Calibri" w:eastAsia="宋体" w:cs="Times New Roman"/>
          <w:b/>
          <w:bCs/>
          <w:kern w:val="2"/>
          <w:sz w:val="30"/>
          <w:szCs w:val="30"/>
          <w:lang w:val="en-US" w:eastAsia="zh-CN" w:bidi="ar-SA"/>
        </w:rPr>
        <w:t>、</w:t>
      </w:r>
      <w:r>
        <w:rPr>
          <w:rFonts w:hint="eastAsia"/>
          <w:b/>
          <w:bCs/>
          <w:sz w:val="30"/>
          <w:szCs w:val="30"/>
          <w:lang w:val="en-US" w:eastAsia="zh-CN"/>
        </w:rPr>
        <w:t>项目报价表（见附件1）</w:t>
      </w:r>
    </w:p>
    <w:p w14:paraId="174F929E">
      <w:pPr>
        <w:pStyle w:val="6"/>
        <w:numPr>
          <w:ilvl w:val="4"/>
          <w:numId w:val="0"/>
        </w:numPr>
        <w:rPr>
          <w:rFonts w:hint="eastAsia"/>
          <w:b w:val="0"/>
          <w:bCs w:val="0"/>
          <w:lang w:val="en-US" w:eastAsia="zh-CN"/>
        </w:rPr>
      </w:pPr>
      <w:r>
        <w:rPr>
          <w:rFonts w:hint="eastAsia"/>
          <w:b w:val="0"/>
          <w:bCs w:val="0"/>
          <w:sz w:val="30"/>
          <w:szCs w:val="30"/>
          <w:lang w:val="en-US" w:eastAsia="zh-CN"/>
        </w:rPr>
        <w:t>六、项目服务内容（见附件2）</w:t>
      </w:r>
    </w:p>
    <w:p w14:paraId="317B89AB">
      <w:pPr>
        <w:numPr>
          <w:ilvl w:val="0"/>
          <w:numId w:val="0"/>
        </w:numPr>
        <w:rPr>
          <w:rFonts w:hint="eastAsia"/>
          <w:b/>
          <w:bCs/>
          <w:sz w:val="30"/>
          <w:szCs w:val="30"/>
          <w:lang w:val="en-US" w:eastAsia="zh-CN"/>
        </w:rPr>
      </w:pPr>
      <w:r>
        <w:rPr>
          <w:rFonts w:hint="eastAsia"/>
          <w:b/>
          <w:bCs/>
          <w:sz w:val="30"/>
          <w:szCs w:val="30"/>
          <w:lang w:val="en-US" w:eastAsia="zh-CN"/>
        </w:rPr>
        <w:t>七、资料递交方式</w:t>
      </w:r>
    </w:p>
    <w:p w14:paraId="3E8C9AEA">
      <w:pPr>
        <w:numPr>
          <w:ilvl w:val="0"/>
          <w:numId w:val="0"/>
        </w:numPr>
        <w:ind w:leftChars="0"/>
        <w:rPr>
          <w:rFonts w:hint="default"/>
          <w:b w:val="0"/>
          <w:bCs w:val="0"/>
          <w:sz w:val="30"/>
          <w:szCs w:val="30"/>
          <w:lang w:val="en-US" w:eastAsia="zh-CN"/>
        </w:rPr>
      </w:pPr>
      <w:r>
        <w:rPr>
          <w:rFonts w:hint="eastAsia"/>
          <w:b/>
          <w:bCs/>
          <w:sz w:val="28"/>
          <w:szCs w:val="28"/>
          <w:lang w:val="en-US" w:eastAsia="zh-CN"/>
        </w:rPr>
        <w:t xml:space="preserve">   </w:t>
      </w:r>
      <w:r>
        <w:rPr>
          <w:rFonts w:hint="eastAsia"/>
          <w:b w:val="0"/>
          <w:bCs w:val="0"/>
          <w:sz w:val="30"/>
          <w:szCs w:val="30"/>
          <w:lang w:val="en-US" w:eastAsia="zh-CN"/>
        </w:rPr>
        <w:t xml:space="preserve">公司营业执照和项目报价表加盖公章扫描为PDF文件于2025年9月22日17:00前发送至3331354405@qq.com,邮件标题形势：公司名称+联系方式。咨询联系人：马老师，电话：15108151885.                                                                                             </w:t>
      </w:r>
    </w:p>
    <w:p w14:paraId="734C620D">
      <w:pPr>
        <w:numPr>
          <w:ilvl w:val="0"/>
          <w:numId w:val="2"/>
        </w:numPr>
        <w:rPr>
          <w:rFonts w:hint="eastAsia"/>
          <w:b/>
          <w:bCs/>
          <w:sz w:val="30"/>
          <w:szCs w:val="30"/>
          <w:lang w:val="en-US" w:eastAsia="zh-CN"/>
        </w:rPr>
      </w:pPr>
      <w:r>
        <w:rPr>
          <w:rFonts w:hint="eastAsia"/>
          <w:b/>
          <w:bCs/>
          <w:sz w:val="30"/>
          <w:szCs w:val="30"/>
          <w:lang w:val="en-US" w:eastAsia="zh-CN"/>
        </w:rPr>
        <w:t>本次市场询价不做任何采购承诺</w:t>
      </w:r>
    </w:p>
    <w:p w14:paraId="4CFC8C84">
      <w:pPr>
        <w:numPr>
          <w:ilvl w:val="0"/>
          <w:numId w:val="0"/>
        </w:numPr>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附件1</w:t>
      </w:r>
      <w:r>
        <w:rPr>
          <w:rFonts w:hint="eastAsia"/>
          <w:b w:val="0"/>
          <w:bCs w:val="0"/>
          <w:sz w:val="32"/>
          <w:szCs w:val="32"/>
          <w:lang w:val="en-US" w:eastAsia="zh-CN"/>
        </w:rPr>
        <w:t>：</w:t>
      </w:r>
      <w:r>
        <w:rPr>
          <w:rFonts w:hint="eastAsia" w:ascii="仿宋" w:hAnsi="仿宋" w:eastAsia="仿宋" w:cs="仿宋"/>
          <w:sz w:val="32"/>
          <w:szCs w:val="32"/>
          <w:lang w:val="en-US" w:eastAsia="zh-CN"/>
        </w:rPr>
        <w:t>资阳市中心医院污水在线监测设备运维服务</w:t>
      </w:r>
      <w:r>
        <w:rPr>
          <w:rFonts w:hint="eastAsia" w:ascii="仿宋" w:hAnsi="仿宋" w:eastAsia="仿宋" w:cs="仿宋"/>
          <w:sz w:val="30"/>
          <w:szCs w:val="30"/>
          <w:lang w:val="en-US" w:eastAsia="zh-CN"/>
        </w:rPr>
        <w:t>报价表：</w:t>
      </w:r>
    </w:p>
    <w:tbl>
      <w:tblPr>
        <w:tblStyle w:val="4"/>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310"/>
        <w:gridCol w:w="2070"/>
        <w:gridCol w:w="1620"/>
      </w:tblGrid>
      <w:tr w14:paraId="57F3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82" w:type="dxa"/>
          </w:tcPr>
          <w:p w14:paraId="79879448">
            <w:pPr>
              <w:pStyle w:val="6"/>
              <w:numPr>
                <w:ilvl w:val="4"/>
                <w:numId w:val="0"/>
              </w:numPr>
              <w:spacing w:line="240" w:lineRule="auto"/>
              <w:ind w:firstLine="240" w:firstLineChars="10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项目名称</w:t>
            </w:r>
          </w:p>
        </w:tc>
        <w:tc>
          <w:tcPr>
            <w:tcW w:w="2310" w:type="dxa"/>
          </w:tcPr>
          <w:p w14:paraId="48A7BDB6">
            <w:pPr>
              <w:pStyle w:val="6"/>
              <w:numPr>
                <w:ilvl w:val="4"/>
                <w:numId w:val="0"/>
              </w:numPr>
              <w:spacing w:line="240" w:lineRule="auto"/>
              <w:ind w:firstLine="240" w:firstLineChars="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报价单位名称</w:t>
            </w:r>
          </w:p>
          <w:p w14:paraId="5DB26248">
            <w:pPr>
              <w:spacing w:line="240" w:lineRule="auto"/>
              <w:rPr>
                <w:rFonts w:hint="eastAsia"/>
                <w:sz w:val="24"/>
                <w:szCs w:val="24"/>
                <w:lang w:val="en-US" w:eastAsia="zh-CN"/>
              </w:rPr>
            </w:pPr>
          </w:p>
        </w:tc>
        <w:tc>
          <w:tcPr>
            <w:tcW w:w="2070" w:type="dxa"/>
          </w:tcPr>
          <w:p w14:paraId="7BCBB26C">
            <w:pPr>
              <w:pStyle w:val="6"/>
              <w:numPr>
                <w:ilvl w:val="4"/>
                <w:numId w:val="0"/>
              </w:numPr>
              <w:spacing w:line="240" w:lineRule="auto"/>
              <w:ind w:firstLine="240" w:firstLineChars="10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联系人及电话</w:t>
            </w:r>
          </w:p>
          <w:p w14:paraId="70C9EAC4">
            <w:pPr>
              <w:spacing w:line="240" w:lineRule="auto"/>
              <w:rPr>
                <w:rFonts w:hint="eastAsia"/>
                <w:sz w:val="24"/>
                <w:szCs w:val="24"/>
                <w:lang w:val="en-US" w:eastAsia="zh-CN"/>
              </w:rPr>
            </w:pPr>
          </w:p>
        </w:tc>
        <w:tc>
          <w:tcPr>
            <w:tcW w:w="1620" w:type="dxa"/>
          </w:tcPr>
          <w:p w14:paraId="5F342CDF">
            <w:pPr>
              <w:pStyle w:val="6"/>
              <w:numPr>
                <w:ilvl w:val="4"/>
                <w:numId w:val="0"/>
              </w:numPr>
              <w:spacing w:line="240" w:lineRule="auto"/>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报价（万元）</w:t>
            </w:r>
          </w:p>
        </w:tc>
      </w:tr>
      <w:tr w14:paraId="72F1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882" w:type="dxa"/>
          </w:tcPr>
          <w:p w14:paraId="27883C69">
            <w:pPr>
              <w:pStyle w:val="6"/>
              <w:numPr>
                <w:ilvl w:val="4"/>
                <w:numId w:val="0"/>
              </w:numPr>
              <w:spacing w:line="240" w:lineRule="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lang w:val="en-US" w:eastAsia="zh-CN"/>
              </w:rPr>
              <w:t>资阳市中心医院污水在线监测设备运维服务</w:t>
            </w:r>
          </w:p>
        </w:tc>
        <w:tc>
          <w:tcPr>
            <w:tcW w:w="2310" w:type="dxa"/>
          </w:tcPr>
          <w:p w14:paraId="5A40B601">
            <w:pPr>
              <w:pStyle w:val="6"/>
              <w:spacing w:line="240" w:lineRule="auto"/>
              <w:rPr>
                <w:rFonts w:hint="eastAsia" w:ascii="仿宋" w:hAnsi="仿宋" w:eastAsia="仿宋" w:cs="仿宋"/>
                <w:b w:val="0"/>
                <w:bCs w:val="0"/>
                <w:sz w:val="21"/>
                <w:szCs w:val="21"/>
                <w:vertAlign w:val="baseline"/>
                <w:lang w:val="en-US" w:eastAsia="zh-CN"/>
              </w:rPr>
            </w:pPr>
          </w:p>
        </w:tc>
        <w:tc>
          <w:tcPr>
            <w:tcW w:w="2070" w:type="dxa"/>
          </w:tcPr>
          <w:p w14:paraId="469A421E">
            <w:pPr>
              <w:pStyle w:val="6"/>
              <w:spacing w:line="240" w:lineRule="auto"/>
              <w:rPr>
                <w:rFonts w:hint="eastAsia" w:ascii="仿宋" w:hAnsi="仿宋" w:eastAsia="仿宋" w:cs="仿宋"/>
                <w:b w:val="0"/>
                <w:bCs w:val="0"/>
                <w:sz w:val="21"/>
                <w:szCs w:val="21"/>
                <w:vertAlign w:val="baseline"/>
                <w:lang w:val="en-US" w:eastAsia="zh-CN"/>
              </w:rPr>
            </w:pPr>
          </w:p>
        </w:tc>
        <w:tc>
          <w:tcPr>
            <w:tcW w:w="1620" w:type="dxa"/>
          </w:tcPr>
          <w:p w14:paraId="7BAB28AF">
            <w:pPr>
              <w:pStyle w:val="6"/>
              <w:spacing w:line="240" w:lineRule="auto"/>
              <w:rPr>
                <w:rFonts w:hint="eastAsia" w:ascii="仿宋" w:hAnsi="仿宋" w:eastAsia="仿宋" w:cs="仿宋"/>
                <w:b w:val="0"/>
                <w:bCs w:val="0"/>
                <w:sz w:val="21"/>
                <w:szCs w:val="21"/>
                <w:vertAlign w:val="baseline"/>
                <w:lang w:val="en-US" w:eastAsia="zh-CN"/>
              </w:rPr>
            </w:pPr>
          </w:p>
        </w:tc>
      </w:tr>
    </w:tbl>
    <w:p w14:paraId="760284BA">
      <w:pPr>
        <w:pStyle w:val="7"/>
        <w:pageBreakBefore w:val="0"/>
        <w:kinsoku/>
        <w:wordWrap/>
        <w:topLinePunct w:val="0"/>
        <w:bidi w:val="0"/>
        <w:spacing w:line="640" w:lineRule="exact"/>
        <w:ind w:left="0" w:leftChars="0" w:firstLine="0" w:firstLineChars="0"/>
        <w:textAlignment w:val="auto"/>
        <w:outlineLvl w:val="0"/>
        <w:rPr>
          <w:rFonts w:hint="default" w:ascii="宋体" w:hAnsi="宋体" w:eastAsia="宋体" w:cs="宋体"/>
          <w:color w:val="000000"/>
          <w:sz w:val="24"/>
          <w:szCs w:val="24"/>
          <w:highlight w:val="none"/>
          <w:lang w:val="en-US" w:eastAsia="zh-CN"/>
        </w:rPr>
      </w:pPr>
      <w:bookmarkStart w:id="0" w:name="_Toc31345"/>
      <w:r>
        <w:rPr>
          <w:rFonts w:hint="eastAsia" w:ascii="宋体" w:hAnsi="宋体" w:cs="宋体"/>
          <w:b/>
          <w:bCs/>
          <w:color w:val="000000"/>
          <w:sz w:val="24"/>
          <w:szCs w:val="24"/>
          <w:highlight w:val="none"/>
          <w:lang w:eastAsia="zh-CN"/>
        </w:rPr>
        <w:t>附件</w:t>
      </w:r>
      <w:r>
        <w:rPr>
          <w:rFonts w:hint="eastAsia" w:ascii="宋体" w:hAnsi="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rPr>
        <w:t>、</w:t>
      </w:r>
      <w:r>
        <w:rPr>
          <w:rFonts w:hint="eastAsia" w:ascii="宋体" w:hAnsi="宋体" w:cs="宋体"/>
          <w:b/>
          <w:bCs/>
          <w:color w:val="000000"/>
          <w:sz w:val="24"/>
          <w:szCs w:val="24"/>
          <w:highlight w:val="none"/>
          <w:lang w:val="en-US" w:eastAsia="zh-CN"/>
        </w:rPr>
        <w:t>项目</w:t>
      </w:r>
      <w:r>
        <w:rPr>
          <w:rFonts w:hint="eastAsia" w:ascii="宋体" w:hAnsi="宋体" w:eastAsia="宋体" w:cs="宋体"/>
          <w:b/>
          <w:bCs/>
          <w:color w:val="000000"/>
          <w:sz w:val="24"/>
          <w:szCs w:val="24"/>
          <w:highlight w:val="none"/>
        </w:rPr>
        <w:t>服务内容</w:t>
      </w:r>
      <w:bookmarkEnd w:id="0"/>
      <w:r>
        <w:rPr>
          <w:rFonts w:hint="eastAsia" w:ascii="宋体" w:hAnsi="宋体" w:cs="宋体"/>
          <w:b/>
          <w:bCs/>
          <w:color w:val="000000"/>
          <w:sz w:val="24"/>
          <w:szCs w:val="24"/>
          <w:highlight w:val="none"/>
          <w:lang w:val="en-US" w:eastAsia="zh-CN"/>
        </w:rPr>
        <w:t>及要求</w:t>
      </w:r>
    </w:p>
    <w:p w14:paraId="133C5931">
      <w:pPr>
        <w:pStyle w:val="7"/>
        <w:pageBreakBefore w:val="0"/>
        <w:kinsoku/>
        <w:wordWrap/>
        <w:topLinePunct w:val="0"/>
        <w:bidi w:val="0"/>
        <w:spacing w:line="640" w:lineRule="exact"/>
        <w:ind w:left="0" w:leftChars="0" w:firstLine="480" w:firstLineChars="200"/>
        <w:textAlignment w:val="auto"/>
        <w:outlineLvl w:val="1"/>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1.设备运维服务清单</w:t>
      </w:r>
    </w:p>
    <w:tbl>
      <w:tblPr>
        <w:tblStyle w:val="4"/>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069"/>
        <w:gridCol w:w="1656"/>
        <w:gridCol w:w="1381"/>
        <w:gridCol w:w="1613"/>
        <w:gridCol w:w="1160"/>
      </w:tblGrid>
      <w:tr w14:paraId="4BA2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2178" w:type="dxa"/>
            <w:shd w:val="clear" w:color="auto" w:fill="FFFFFF"/>
            <w:noWrap w:val="0"/>
            <w:vAlign w:val="center"/>
          </w:tcPr>
          <w:p w14:paraId="13D65734">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项目</w:t>
            </w:r>
          </w:p>
        </w:tc>
        <w:tc>
          <w:tcPr>
            <w:tcW w:w="1069" w:type="dxa"/>
            <w:shd w:val="clear" w:color="auto" w:fill="FFFFFF"/>
            <w:noWrap w:val="0"/>
            <w:vAlign w:val="center"/>
          </w:tcPr>
          <w:p w14:paraId="603AAD24">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数量</w:t>
            </w:r>
          </w:p>
        </w:tc>
        <w:tc>
          <w:tcPr>
            <w:tcW w:w="1656" w:type="dxa"/>
            <w:shd w:val="clear" w:color="auto" w:fill="FFFFFF"/>
            <w:noWrap w:val="0"/>
            <w:vAlign w:val="center"/>
          </w:tcPr>
          <w:p w14:paraId="49F31C2D">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型号</w:t>
            </w:r>
          </w:p>
        </w:tc>
        <w:tc>
          <w:tcPr>
            <w:tcW w:w="1381" w:type="dxa"/>
            <w:shd w:val="clear" w:color="auto" w:fill="FFFFFF"/>
            <w:noWrap w:val="0"/>
            <w:vAlign w:val="center"/>
          </w:tcPr>
          <w:p w14:paraId="7E443DF7">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生产厂家</w:t>
            </w:r>
          </w:p>
        </w:tc>
        <w:tc>
          <w:tcPr>
            <w:tcW w:w="1613" w:type="dxa"/>
            <w:shd w:val="clear" w:color="auto" w:fill="FFFFFF"/>
            <w:noWrap w:val="0"/>
            <w:vAlign w:val="center"/>
          </w:tcPr>
          <w:p w14:paraId="1B4650B1">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地点</w:t>
            </w:r>
          </w:p>
        </w:tc>
        <w:tc>
          <w:tcPr>
            <w:tcW w:w="1160" w:type="dxa"/>
            <w:shd w:val="clear" w:color="auto" w:fill="FFFFFF"/>
            <w:noWrap w:val="0"/>
            <w:vAlign w:val="center"/>
          </w:tcPr>
          <w:p w14:paraId="1E4C0FFB">
            <w:pPr>
              <w:numPr>
                <w:ilvl w:val="0"/>
                <w:numId w:val="0"/>
              </w:numPr>
              <w:jc w:val="center"/>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备注</w:t>
            </w:r>
          </w:p>
        </w:tc>
      </w:tr>
      <w:tr w14:paraId="518F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DFA"/>
            <w:noWrap w:val="0"/>
            <w:vAlign w:val="center"/>
          </w:tcPr>
          <w:p w14:paraId="2B19EDCC">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化学需氧量水质自动在线监测仪</w:t>
            </w:r>
          </w:p>
        </w:tc>
        <w:tc>
          <w:tcPr>
            <w:tcW w:w="1069" w:type="dxa"/>
            <w:shd w:val="clear" w:color="auto" w:fill="FFFDFA"/>
            <w:noWrap w:val="0"/>
            <w:vAlign w:val="center"/>
          </w:tcPr>
          <w:p w14:paraId="05B450D5">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FFF"/>
            <w:noWrap w:val="0"/>
            <w:vAlign w:val="center"/>
          </w:tcPr>
          <w:p w14:paraId="497FA212">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PhotoTEK6000</w:t>
            </w:r>
          </w:p>
        </w:tc>
        <w:tc>
          <w:tcPr>
            <w:tcW w:w="1381" w:type="dxa"/>
            <w:shd w:val="clear" w:color="auto" w:fill="FFFFFF"/>
            <w:noWrap w:val="0"/>
            <w:vAlign w:val="center"/>
          </w:tcPr>
          <w:p w14:paraId="01892DB1">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FFF"/>
            <w:noWrap w:val="0"/>
            <w:vAlign w:val="center"/>
          </w:tcPr>
          <w:p w14:paraId="5F190104">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FFF"/>
            <w:noWrap w:val="0"/>
            <w:vAlign w:val="center"/>
          </w:tcPr>
          <w:p w14:paraId="207DD949">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p>
        </w:tc>
      </w:tr>
      <w:tr w14:paraId="6AA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FFF"/>
            <w:noWrap w:val="0"/>
            <w:vAlign w:val="center"/>
          </w:tcPr>
          <w:p w14:paraId="101441CB">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氨氮水质自动在线监测仪</w:t>
            </w:r>
          </w:p>
        </w:tc>
        <w:tc>
          <w:tcPr>
            <w:tcW w:w="1069" w:type="dxa"/>
            <w:shd w:val="clear" w:color="auto" w:fill="FFFFFF"/>
            <w:noWrap w:val="0"/>
            <w:vAlign w:val="center"/>
          </w:tcPr>
          <w:p w14:paraId="28D70A15">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DFA"/>
            <w:noWrap w:val="0"/>
            <w:vAlign w:val="center"/>
          </w:tcPr>
          <w:p w14:paraId="08ACD003">
            <w:pPr>
              <w:numPr>
                <w:ilvl w:val="0"/>
                <w:numId w:val="0"/>
              </w:numPr>
              <w:ind w:left="0" w:leftChars="0" w:firstLine="0" w:firstLineChars="0"/>
              <w:jc w:val="both"/>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PhotoTEK6000</w:t>
            </w:r>
          </w:p>
        </w:tc>
        <w:tc>
          <w:tcPr>
            <w:tcW w:w="1381" w:type="dxa"/>
            <w:shd w:val="clear" w:color="auto" w:fill="FFFDFA"/>
            <w:noWrap w:val="0"/>
            <w:vAlign w:val="center"/>
          </w:tcPr>
          <w:p w14:paraId="70EEE064">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DFA"/>
            <w:noWrap w:val="0"/>
            <w:vAlign w:val="center"/>
          </w:tcPr>
          <w:p w14:paraId="6772D984">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DFA"/>
            <w:noWrap w:val="0"/>
            <w:vAlign w:val="center"/>
          </w:tcPr>
          <w:p w14:paraId="6326EAEF">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p>
        </w:tc>
      </w:tr>
      <w:tr w14:paraId="7DE2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DFA"/>
            <w:noWrap w:val="0"/>
            <w:vAlign w:val="center"/>
          </w:tcPr>
          <w:p w14:paraId="79D77DF8">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总磷水质自动在线监测仪</w:t>
            </w:r>
          </w:p>
        </w:tc>
        <w:tc>
          <w:tcPr>
            <w:tcW w:w="1069" w:type="dxa"/>
            <w:shd w:val="clear" w:color="auto" w:fill="FFFDFA"/>
            <w:noWrap w:val="0"/>
            <w:vAlign w:val="center"/>
          </w:tcPr>
          <w:p w14:paraId="4C8EDC6B">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DFA"/>
            <w:noWrap w:val="0"/>
            <w:vAlign w:val="center"/>
          </w:tcPr>
          <w:p w14:paraId="6672F11E">
            <w:pPr>
              <w:numPr>
                <w:ilvl w:val="0"/>
                <w:numId w:val="0"/>
              </w:numPr>
              <w:ind w:left="0" w:leftChars="0" w:firstLine="0" w:firstLineChars="0"/>
              <w:jc w:val="both"/>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PhotoTEK6000</w:t>
            </w:r>
          </w:p>
        </w:tc>
        <w:tc>
          <w:tcPr>
            <w:tcW w:w="1381" w:type="dxa"/>
            <w:shd w:val="clear" w:color="auto" w:fill="FFFDFA"/>
            <w:noWrap w:val="0"/>
            <w:vAlign w:val="center"/>
          </w:tcPr>
          <w:p w14:paraId="60989D1D">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DFA"/>
            <w:noWrap w:val="0"/>
            <w:vAlign w:val="center"/>
          </w:tcPr>
          <w:p w14:paraId="1D8025EC">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DFA"/>
            <w:noWrap w:val="0"/>
            <w:vAlign w:val="center"/>
          </w:tcPr>
          <w:p w14:paraId="51B894DD">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p>
        </w:tc>
      </w:tr>
      <w:tr w14:paraId="19EB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FFF"/>
            <w:noWrap w:val="0"/>
            <w:vAlign w:val="center"/>
          </w:tcPr>
          <w:p w14:paraId="21A08733">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PH</w:t>
            </w:r>
          </w:p>
        </w:tc>
        <w:tc>
          <w:tcPr>
            <w:tcW w:w="1069" w:type="dxa"/>
            <w:shd w:val="clear" w:color="auto" w:fill="FFFFFF"/>
            <w:noWrap w:val="0"/>
            <w:vAlign w:val="center"/>
          </w:tcPr>
          <w:p w14:paraId="7D8FBC85">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FFF"/>
            <w:noWrap w:val="0"/>
            <w:vAlign w:val="center"/>
          </w:tcPr>
          <w:p w14:paraId="5FB92A31">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w:t>
            </w:r>
          </w:p>
        </w:tc>
        <w:tc>
          <w:tcPr>
            <w:tcW w:w="1381" w:type="dxa"/>
            <w:shd w:val="clear" w:color="auto" w:fill="FFFFFF"/>
            <w:noWrap w:val="0"/>
            <w:vAlign w:val="center"/>
          </w:tcPr>
          <w:p w14:paraId="275AE608">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w:t>
            </w:r>
          </w:p>
        </w:tc>
        <w:tc>
          <w:tcPr>
            <w:tcW w:w="1613" w:type="dxa"/>
            <w:shd w:val="clear" w:color="auto" w:fill="FFFFFF"/>
            <w:noWrap w:val="0"/>
            <w:vAlign w:val="center"/>
          </w:tcPr>
          <w:p w14:paraId="7C044089">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FFF"/>
            <w:noWrap w:val="0"/>
            <w:vAlign w:val="center"/>
          </w:tcPr>
          <w:p w14:paraId="23A77AEC">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p>
        </w:tc>
      </w:tr>
      <w:tr w14:paraId="3AD9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FFF"/>
            <w:noWrap w:val="0"/>
            <w:vAlign w:val="center"/>
          </w:tcPr>
          <w:p w14:paraId="3A338A46">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明渠流量计</w:t>
            </w:r>
          </w:p>
        </w:tc>
        <w:tc>
          <w:tcPr>
            <w:tcW w:w="1069" w:type="dxa"/>
            <w:shd w:val="clear" w:color="auto" w:fill="FFFFFF"/>
            <w:noWrap w:val="0"/>
            <w:vAlign w:val="center"/>
          </w:tcPr>
          <w:p w14:paraId="76AF2897">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DFA"/>
            <w:noWrap w:val="0"/>
            <w:vAlign w:val="center"/>
          </w:tcPr>
          <w:p w14:paraId="2100677C">
            <w:pPr>
              <w:numPr>
                <w:ilvl w:val="0"/>
                <w:numId w:val="0"/>
              </w:numPr>
              <w:ind w:left="0" w:leftChars="0" w:firstLine="0" w:firstLineChars="0"/>
              <w:jc w:val="both"/>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SULN-200</w:t>
            </w:r>
          </w:p>
        </w:tc>
        <w:tc>
          <w:tcPr>
            <w:tcW w:w="1381" w:type="dxa"/>
            <w:shd w:val="clear" w:color="auto" w:fill="FFFDFA"/>
            <w:noWrap w:val="0"/>
            <w:vAlign w:val="center"/>
          </w:tcPr>
          <w:p w14:paraId="42C6D37B">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杭州科盛</w:t>
            </w:r>
          </w:p>
        </w:tc>
        <w:tc>
          <w:tcPr>
            <w:tcW w:w="1613" w:type="dxa"/>
            <w:shd w:val="clear" w:color="auto" w:fill="FFFDFA"/>
            <w:noWrap w:val="0"/>
            <w:vAlign w:val="center"/>
          </w:tcPr>
          <w:p w14:paraId="5A55CB9D">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DFA"/>
            <w:noWrap w:val="0"/>
            <w:vAlign w:val="center"/>
          </w:tcPr>
          <w:p w14:paraId="49D589CB">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p>
        </w:tc>
      </w:tr>
      <w:tr w14:paraId="01AF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DFA"/>
            <w:noWrap w:val="0"/>
            <w:vAlign w:val="center"/>
          </w:tcPr>
          <w:p w14:paraId="086A2CEB">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水质自动采样器</w:t>
            </w:r>
          </w:p>
        </w:tc>
        <w:tc>
          <w:tcPr>
            <w:tcW w:w="1069" w:type="dxa"/>
            <w:shd w:val="clear" w:color="auto" w:fill="FFFDFA"/>
            <w:noWrap w:val="0"/>
            <w:vAlign w:val="center"/>
          </w:tcPr>
          <w:p w14:paraId="0AD4D417">
            <w:pPr>
              <w:numPr>
                <w:ilvl w:val="0"/>
                <w:numId w:val="0"/>
              </w:numPr>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2台</w:t>
            </w:r>
          </w:p>
        </w:tc>
        <w:tc>
          <w:tcPr>
            <w:tcW w:w="1656" w:type="dxa"/>
            <w:shd w:val="clear" w:color="auto" w:fill="FFFDFA"/>
            <w:noWrap w:val="0"/>
            <w:vAlign w:val="center"/>
          </w:tcPr>
          <w:p w14:paraId="70515F55">
            <w:pPr>
              <w:numPr>
                <w:ilvl w:val="0"/>
                <w:numId w:val="0"/>
              </w:numPr>
              <w:jc w:val="both"/>
              <w:rPr>
                <w:rFonts w:hint="default"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STeK600</w:t>
            </w:r>
          </w:p>
        </w:tc>
        <w:tc>
          <w:tcPr>
            <w:tcW w:w="1381" w:type="dxa"/>
            <w:shd w:val="clear" w:color="auto" w:fill="FFFDFA"/>
            <w:noWrap w:val="0"/>
            <w:vAlign w:val="center"/>
          </w:tcPr>
          <w:p w14:paraId="5F819C83">
            <w:pPr>
              <w:numPr>
                <w:ilvl w:val="0"/>
                <w:numId w:val="0"/>
              </w:numPr>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DFA"/>
            <w:noWrap w:val="0"/>
            <w:vAlign w:val="center"/>
          </w:tcPr>
          <w:p w14:paraId="580D903A">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kern w:val="2"/>
                <w:sz w:val="24"/>
                <w:szCs w:val="24"/>
                <w:highlight w:val="none"/>
                <w:vertAlign w:val="baseline"/>
                <w:lang w:val="en-US" w:eastAsia="zh-CN" w:bidi="ar-SA"/>
              </w:rPr>
              <w:t>排水口、进水口</w:t>
            </w: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DFA"/>
            <w:noWrap w:val="0"/>
            <w:vAlign w:val="center"/>
          </w:tcPr>
          <w:p w14:paraId="13E1DBFF">
            <w:pPr>
              <w:numPr>
                <w:ilvl w:val="0"/>
                <w:numId w:val="0"/>
              </w:numPr>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各1台</w:t>
            </w:r>
          </w:p>
        </w:tc>
      </w:tr>
      <w:tr w14:paraId="781A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178" w:type="dxa"/>
            <w:shd w:val="clear" w:color="auto" w:fill="FFFDFA"/>
            <w:noWrap w:val="0"/>
            <w:vAlign w:val="center"/>
          </w:tcPr>
          <w:p w14:paraId="6DA45C77">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化学需氧量水质自动在线监测仪</w:t>
            </w:r>
          </w:p>
        </w:tc>
        <w:tc>
          <w:tcPr>
            <w:tcW w:w="1069" w:type="dxa"/>
            <w:shd w:val="clear" w:color="auto" w:fill="FFFDFA"/>
            <w:noWrap w:val="0"/>
            <w:vAlign w:val="center"/>
          </w:tcPr>
          <w:p w14:paraId="6694325A">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DFA"/>
            <w:noWrap w:val="0"/>
            <w:vAlign w:val="center"/>
          </w:tcPr>
          <w:p w14:paraId="2BF3B003">
            <w:pPr>
              <w:numPr>
                <w:ilvl w:val="0"/>
                <w:numId w:val="0"/>
              </w:numPr>
              <w:ind w:left="0" w:leftChars="0" w:firstLine="0" w:firstLineChars="0"/>
              <w:jc w:val="both"/>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kern w:val="2"/>
                <w:sz w:val="24"/>
                <w:szCs w:val="24"/>
                <w:highlight w:val="none"/>
                <w:vertAlign w:val="baseline"/>
                <w:lang w:val="en-US" w:eastAsia="zh-CN" w:bidi="ar-SA"/>
              </w:rPr>
              <w:t>PhotoTEK6000</w:t>
            </w:r>
          </w:p>
        </w:tc>
        <w:tc>
          <w:tcPr>
            <w:tcW w:w="1381" w:type="dxa"/>
            <w:shd w:val="clear" w:color="auto" w:fill="FFFDFA"/>
            <w:noWrap w:val="0"/>
            <w:vAlign w:val="center"/>
          </w:tcPr>
          <w:p w14:paraId="46B14BBD">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DFA"/>
            <w:noWrap w:val="0"/>
            <w:vAlign w:val="center"/>
          </w:tcPr>
          <w:p w14:paraId="29897480">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DFA"/>
            <w:noWrap w:val="0"/>
            <w:vAlign w:val="center"/>
          </w:tcPr>
          <w:p w14:paraId="18BD5A2D">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p>
        </w:tc>
      </w:tr>
      <w:tr w14:paraId="7E78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178" w:type="dxa"/>
            <w:shd w:val="clear" w:color="auto" w:fill="FFFFFF"/>
            <w:noWrap w:val="0"/>
            <w:vAlign w:val="center"/>
          </w:tcPr>
          <w:p w14:paraId="02F4548E">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氨氮水质自动在线监测仪</w:t>
            </w:r>
          </w:p>
        </w:tc>
        <w:tc>
          <w:tcPr>
            <w:tcW w:w="1069" w:type="dxa"/>
            <w:shd w:val="clear" w:color="auto" w:fill="FFFFFF"/>
            <w:noWrap w:val="0"/>
            <w:vAlign w:val="center"/>
          </w:tcPr>
          <w:p w14:paraId="1F19FA94">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eastAsia="宋体" w:cs="宋体"/>
                <w:color w:val="000000"/>
                <w:sz w:val="24"/>
                <w:szCs w:val="24"/>
                <w:highlight w:val="none"/>
                <w:vertAlign w:val="baseline"/>
                <w:lang w:val="en-US" w:eastAsia="zh-CN"/>
              </w:rPr>
              <w:t>1台</w:t>
            </w:r>
          </w:p>
        </w:tc>
        <w:tc>
          <w:tcPr>
            <w:tcW w:w="1656" w:type="dxa"/>
            <w:shd w:val="clear" w:color="auto" w:fill="FFFFFF"/>
            <w:noWrap w:val="0"/>
            <w:vAlign w:val="center"/>
          </w:tcPr>
          <w:p w14:paraId="5BEA1BFB">
            <w:pPr>
              <w:numPr>
                <w:ilvl w:val="0"/>
                <w:numId w:val="0"/>
              </w:numPr>
              <w:ind w:left="0" w:leftChars="0" w:firstLine="0" w:firstLineChars="0"/>
              <w:jc w:val="both"/>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kern w:val="2"/>
                <w:sz w:val="24"/>
                <w:szCs w:val="24"/>
                <w:highlight w:val="none"/>
                <w:vertAlign w:val="baseline"/>
                <w:lang w:val="en-US" w:eastAsia="zh-CN" w:bidi="ar-SA"/>
              </w:rPr>
              <w:t>PhotoTEK6000</w:t>
            </w:r>
          </w:p>
        </w:tc>
        <w:tc>
          <w:tcPr>
            <w:tcW w:w="1381" w:type="dxa"/>
            <w:shd w:val="clear" w:color="auto" w:fill="FFFFFF"/>
            <w:noWrap w:val="0"/>
            <w:vAlign w:val="center"/>
          </w:tcPr>
          <w:p w14:paraId="51497C54">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kern w:val="2"/>
                <w:sz w:val="24"/>
                <w:szCs w:val="24"/>
                <w:highlight w:val="none"/>
                <w:vertAlign w:val="baseline"/>
                <w:lang w:val="en-US" w:eastAsia="zh-CN" w:bidi="ar-SA"/>
              </w:rPr>
              <w:t>深圳郎石</w:t>
            </w:r>
          </w:p>
        </w:tc>
        <w:tc>
          <w:tcPr>
            <w:tcW w:w="1613" w:type="dxa"/>
            <w:shd w:val="clear" w:color="auto" w:fill="FFFFFF"/>
            <w:noWrap w:val="0"/>
            <w:vAlign w:val="center"/>
          </w:tcPr>
          <w:p w14:paraId="66007C43">
            <w:pPr>
              <w:numPr>
                <w:ilvl w:val="0"/>
                <w:numId w:val="0"/>
              </w:numPr>
              <w:ind w:left="0" w:leftChars="0" w:firstLine="0" w:firstLineChars="0"/>
              <w:jc w:val="center"/>
              <w:rPr>
                <w:rFonts w:hint="eastAsia"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FFF"/>
            <w:noWrap w:val="0"/>
            <w:vAlign w:val="center"/>
          </w:tcPr>
          <w:p w14:paraId="055E8FF8">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p>
        </w:tc>
      </w:tr>
      <w:tr w14:paraId="756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178" w:type="dxa"/>
            <w:shd w:val="clear" w:color="auto" w:fill="FFFFFF"/>
            <w:noWrap w:val="0"/>
            <w:vAlign w:val="center"/>
          </w:tcPr>
          <w:p w14:paraId="4BE24651">
            <w:pPr>
              <w:numPr>
                <w:ilvl w:val="0"/>
                <w:numId w:val="0"/>
              </w:numPr>
              <w:ind w:left="0" w:leftChars="0" w:firstLine="0" w:firstLineChars="0"/>
              <w:jc w:val="center"/>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环保数采仪</w:t>
            </w:r>
          </w:p>
        </w:tc>
        <w:tc>
          <w:tcPr>
            <w:tcW w:w="1069" w:type="dxa"/>
            <w:shd w:val="clear" w:color="auto" w:fill="FFFFFF"/>
            <w:noWrap w:val="0"/>
            <w:vAlign w:val="center"/>
          </w:tcPr>
          <w:p w14:paraId="1E5183FA">
            <w:pPr>
              <w:numPr>
                <w:ilvl w:val="0"/>
                <w:numId w:val="0"/>
              </w:numPr>
              <w:ind w:left="0" w:leftChars="0" w:firstLine="0" w:firstLineChars="0"/>
              <w:jc w:val="center"/>
              <w:rPr>
                <w:rFonts w:hint="default"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1台</w:t>
            </w:r>
          </w:p>
        </w:tc>
        <w:tc>
          <w:tcPr>
            <w:tcW w:w="1656" w:type="dxa"/>
            <w:shd w:val="clear" w:color="auto" w:fill="FFFFFF"/>
            <w:noWrap w:val="0"/>
            <w:vAlign w:val="center"/>
          </w:tcPr>
          <w:p w14:paraId="29BACCE4">
            <w:pPr>
              <w:numPr>
                <w:ilvl w:val="0"/>
                <w:numId w:val="0"/>
              </w:numPr>
              <w:ind w:left="0" w:leftChars="0" w:firstLine="0" w:firstLineChars="0"/>
              <w:jc w:val="both"/>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K37A</w:t>
            </w:r>
          </w:p>
        </w:tc>
        <w:tc>
          <w:tcPr>
            <w:tcW w:w="1381" w:type="dxa"/>
            <w:shd w:val="clear" w:color="auto" w:fill="FFFFFF"/>
            <w:noWrap w:val="0"/>
            <w:vAlign w:val="center"/>
          </w:tcPr>
          <w:p w14:paraId="7FCA43F1">
            <w:pPr>
              <w:numPr>
                <w:ilvl w:val="0"/>
                <w:numId w:val="0"/>
              </w:numPr>
              <w:ind w:left="0" w:leftChars="0" w:firstLine="0" w:firstLineChars="0"/>
              <w:jc w:val="center"/>
              <w:rPr>
                <w:rFonts w:hint="default" w:ascii="宋体" w:hAnsi="宋体" w:eastAsia="宋体" w:cs="宋体"/>
                <w:color w:val="000000"/>
                <w:kern w:val="2"/>
                <w:sz w:val="24"/>
                <w:szCs w:val="24"/>
                <w:highlight w:val="none"/>
                <w:vertAlign w:val="baseline"/>
                <w:lang w:val="en-US" w:eastAsia="zh-CN" w:bidi="ar-SA"/>
              </w:rPr>
            </w:pPr>
            <w:r>
              <w:rPr>
                <w:rFonts w:hint="eastAsia" w:ascii="宋体" w:hAnsi="宋体" w:cs="宋体"/>
                <w:color w:val="000000"/>
                <w:kern w:val="2"/>
                <w:sz w:val="24"/>
                <w:szCs w:val="24"/>
                <w:highlight w:val="none"/>
                <w:vertAlign w:val="baseline"/>
                <w:lang w:val="en-US" w:eastAsia="zh-CN" w:bidi="ar-SA"/>
              </w:rPr>
              <w:t>广州博控</w:t>
            </w:r>
          </w:p>
        </w:tc>
        <w:tc>
          <w:tcPr>
            <w:tcW w:w="1613" w:type="dxa"/>
            <w:shd w:val="clear" w:color="auto" w:fill="FFFFFF"/>
            <w:noWrap w:val="0"/>
            <w:vAlign w:val="center"/>
          </w:tcPr>
          <w:p w14:paraId="7C225BE0">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r>
              <w:rPr>
                <w:rFonts w:hint="eastAsia" w:ascii="宋体" w:hAnsi="宋体" w:cs="宋体"/>
                <w:color w:val="000000"/>
                <w:kern w:val="2"/>
                <w:sz w:val="24"/>
                <w:szCs w:val="24"/>
                <w:highlight w:val="none"/>
                <w:vertAlign w:val="baseline"/>
                <w:lang w:val="en-US" w:eastAsia="zh-CN" w:bidi="ar-SA"/>
              </w:rPr>
              <w:t>监测室</w:t>
            </w:r>
          </w:p>
        </w:tc>
        <w:tc>
          <w:tcPr>
            <w:tcW w:w="1160" w:type="dxa"/>
            <w:shd w:val="clear" w:color="auto" w:fill="FFFFFF"/>
            <w:noWrap w:val="0"/>
            <w:vAlign w:val="center"/>
          </w:tcPr>
          <w:p w14:paraId="3B563396">
            <w:pPr>
              <w:numPr>
                <w:ilvl w:val="0"/>
                <w:numId w:val="0"/>
              </w:numPr>
              <w:ind w:left="0" w:leftChars="0" w:firstLine="0" w:firstLineChars="0"/>
              <w:jc w:val="center"/>
              <w:rPr>
                <w:rFonts w:hint="eastAsia" w:ascii="宋体" w:hAnsi="宋体" w:eastAsia="宋体" w:cs="宋体"/>
                <w:color w:val="000000"/>
                <w:sz w:val="24"/>
                <w:szCs w:val="24"/>
                <w:highlight w:val="none"/>
                <w:vertAlign w:val="baseline"/>
                <w:lang w:val="en-US" w:eastAsia="zh-CN"/>
              </w:rPr>
            </w:pPr>
          </w:p>
        </w:tc>
      </w:tr>
    </w:tbl>
    <w:p w14:paraId="5F066D49">
      <w:pPr>
        <w:pStyle w:val="7"/>
        <w:pageBreakBefore w:val="0"/>
        <w:kinsoku/>
        <w:wordWrap/>
        <w:topLinePunct w:val="0"/>
        <w:bidi w:val="0"/>
        <w:spacing w:line="64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2.按设备正常运行需求，提供设备运行维护所需的所有试剂，所需费用包含在报价中（</w:t>
      </w:r>
      <w:r>
        <w:rPr>
          <w:rFonts w:ascii="Segoe UI" w:hAnsi="Segoe UI" w:eastAsia="Segoe UI" w:cs="Segoe UI"/>
          <w:i w:val="0"/>
          <w:iCs w:val="0"/>
          <w:caps w:val="0"/>
          <w:color w:val="404040"/>
          <w:spacing w:val="0"/>
          <w:sz w:val="24"/>
          <w:szCs w:val="24"/>
          <w:shd w:val="clear" w:color="auto" w:fill="FFFFFF"/>
        </w:rPr>
        <w:t>单次维修配件费用≤500元由供应商承担，超出部分由采购方承担</w:t>
      </w:r>
      <w:r>
        <w:rPr>
          <w:rFonts w:hint="eastAsia" w:ascii="宋体" w:hAnsi="宋体" w:eastAsia="宋体" w:cs="宋体"/>
          <w:color w:val="000000"/>
          <w:sz w:val="24"/>
          <w:szCs w:val="24"/>
          <w:highlight w:val="none"/>
          <w:lang w:val="en-US" w:eastAsia="zh-CN"/>
        </w:rPr>
        <w:t>）。</w:t>
      </w:r>
    </w:p>
    <w:p w14:paraId="6B1ED1B7">
      <w:pPr>
        <w:pStyle w:val="7"/>
        <w:pageBreakBefore w:val="0"/>
        <w:kinsoku/>
        <w:wordWrap/>
        <w:topLinePunct w:val="0"/>
        <w:bidi w:val="0"/>
        <w:spacing w:line="64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3.在线监测设备的维修、保养、标液、试剂、耗材、易损件、备品备件更换（500元以上配件由采购方自行承担）等一切费用包含在报价中</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在服务期内确保水污染源在线监测设备的正常稳定运行，数据真实可溯源；</w:t>
      </w:r>
    </w:p>
    <w:p w14:paraId="66B6D2DC">
      <w:pPr>
        <w:pStyle w:val="7"/>
        <w:pageBreakBefore w:val="0"/>
        <w:kinsoku/>
        <w:wordWrap/>
        <w:topLinePunct w:val="0"/>
        <w:bidi w:val="0"/>
        <w:spacing w:line="64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Cs w:val="0"/>
          <w:color w:val="000000"/>
          <w:kern w:val="2"/>
          <w:sz w:val="24"/>
          <w:szCs w:val="24"/>
          <w:highlight w:val="none"/>
          <w:lang w:val="en-US" w:eastAsia="zh-CN" w:bidi="ar-SA"/>
        </w:rPr>
        <w:t>4.严格按照HJ355-2019《水污染源在线监测系统(CODCr、NH3-N等)运行技术规范》等环保相关要求开展运维工作，</w:t>
      </w:r>
      <w:r>
        <w:rPr>
          <w:rFonts w:hint="eastAsia" w:ascii="宋体" w:hAnsi="宋体" w:eastAsia="宋体" w:cs="宋体"/>
          <w:color w:val="000000"/>
          <w:sz w:val="24"/>
          <w:szCs w:val="24"/>
          <w:highlight w:val="none"/>
          <w:lang w:val="en-US" w:eastAsia="zh-CN"/>
        </w:rPr>
        <w:t>建立监测设备运维管理服务计划，（包括但不限于）环保相关法律法规要求做好台账记录，建档留存；</w:t>
      </w:r>
    </w:p>
    <w:p w14:paraId="0029AAF2">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lang w:val="en-US" w:eastAsia="zh-CN"/>
        </w:rPr>
        <w:t>每周</w:t>
      </w:r>
      <w:r>
        <w:rPr>
          <w:rFonts w:hint="eastAsia" w:ascii="宋体" w:hAnsi="宋体" w:eastAsia="宋体" w:cs="宋体"/>
          <w:color w:val="000000"/>
          <w:sz w:val="24"/>
          <w:szCs w:val="24"/>
          <w:highlight w:val="none"/>
          <w:lang w:val="en-US" w:eastAsia="zh-CN"/>
        </w:rPr>
        <w:t>对在线监测设备进行现场维护检查并记录台账，按要求完成</w:t>
      </w:r>
      <w:r>
        <w:rPr>
          <w:rFonts w:hint="eastAsia" w:ascii="宋体" w:hAnsi="宋体" w:eastAsia="宋体" w:cs="宋体"/>
          <w:color w:val="auto"/>
          <w:sz w:val="24"/>
          <w:szCs w:val="24"/>
          <w:highlight w:val="none"/>
          <w:lang w:val="en-US" w:eastAsia="zh-CN"/>
        </w:rPr>
        <w:t>电子运维。</w:t>
      </w:r>
    </w:p>
    <w:p w14:paraId="7576B2F4">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6.检查自来水供应、泵取水情况，检查内部管路是否通畅，仪器自动清洗装置是否运行正常，检查各仪器的进水管和排水管是否清洁，必要时进行清洗。定期对水泵和过滤网进行清洗。</w:t>
      </w:r>
    </w:p>
    <w:p w14:paraId="09397E94">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 检查各水污染源在线检测仪器标准溶液和试剂是否在有效使用期内，保证按相关要求定期更换标准溶液和试剂。</w:t>
      </w:r>
    </w:p>
    <w:p w14:paraId="30A7A679">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8.检查数据采集传输仪运行情况，并检查连接处有无损坏，对数据进行抽样检查，对比水污染源在线监测仪、数据采集传输仪及监控中心平台接收到的数据是否一致。</w:t>
      </w:r>
      <w:bookmarkStart w:id="1" w:name="_GoBack"/>
      <w:bookmarkEnd w:id="1"/>
    </w:p>
    <w:p w14:paraId="480CB0F7">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9.检查水质自动采样系统管路是否清洁，采样泵、采样桶和留样系统是否正常工作，留样保存温度是否正常。</w:t>
      </w:r>
    </w:p>
    <w:p w14:paraId="7B5268DD">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10.每月的现场维护应包括对水污染源在线监测仪器进行一次保养，对仪器分析系统进行维护;对数据存储或控制系统工作状态进行一次检查。</w:t>
      </w:r>
    </w:p>
    <w:p w14:paraId="3AD2622E">
      <w:pPr>
        <w:pStyle w:val="7"/>
        <w:pageBreakBefore w:val="0"/>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11每月根据相应仪器操作维护说明，检查和保养易损耗件，必要时更换;检查及清洗取样单元、消解单元、检测单元、计量单元等。</w:t>
      </w:r>
    </w:p>
    <w:p w14:paraId="6FE69EE9">
      <w:pPr>
        <w:pStyle w:val="7"/>
        <w:pageBreakBefore w:val="0"/>
        <w:numPr>
          <w:ilvl w:val="0"/>
          <w:numId w:val="3"/>
        </w:numPr>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水质自动采样系统:每月根据情况更换蠕动泵管、清洗混合采样瓶等。</w:t>
      </w:r>
    </w:p>
    <w:p w14:paraId="33987CF6">
      <w:pPr>
        <w:pStyle w:val="7"/>
        <w:pageBreakBefore w:val="0"/>
        <w:numPr>
          <w:ilvl w:val="0"/>
          <w:numId w:val="3"/>
        </w:numPr>
        <w:kinsoku/>
        <w:wordWrap/>
        <w:topLinePunct w:val="0"/>
        <w:bidi w:val="0"/>
        <w:spacing w:line="640" w:lineRule="exact"/>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水污染源在线监测仪器:根据相应仪器操作维护说明，每季度检查及更换易损耗件，检查关键零部件可靠性，如计量单元准确性、反应室密封性等，必要时进行更换。</w:t>
      </w:r>
    </w:p>
    <w:p w14:paraId="0FFB90E8">
      <w:pPr>
        <w:pStyle w:val="7"/>
        <w:pageBreakBefore w:val="0"/>
        <w:kinsoku/>
        <w:wordWrap/>
        <w:topLinePunct w:val="0"/>
        <w:bidi w:val="0"/>
        <w:spacing w:line="64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14.按环保要求及时处理异常数据，完成设备参数公示;</w:t>
      </w:r>
    </w:p>
    <w:p w14:paraId="737BA9F4">
      <w:pPr>
        <w:pStyle w:val="7"/>
        <w:pageBreakBefore w:val="0"/>
        <w:kinsoku/>
        <w:wordWrap/>
        <w:topLinePunct w:val="0"/>
        <w:bidi w:val="0"/>
        <w:spacing w:line="64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15.按照运行规范要求定期进行自动标样核查和自动校准，每月进行实际水样比对试验。每季度用便携式明渠流量计比对装置对现场安装使用的超声波明渠流量计进行1次比对试验。</w:t>
      </w:r>
    </w:p>
    <w:p w14:paraId="3D42BA72">
      <w:pPr>
        <w:pStyle w:val="7"/>
        <w:pageBreakBefore w:val="0"/>
        <w:kinsoku/>
        <w:wordWrap/>
        <w:topLinePunct w:val="0"/>
        <w:bidi w:val="0"/>
        <w:spacing w:line="640" w:lineRule="exact"/>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16.自动监测设施如</w:t>
      </w:r>
      <w:r>
        <w:rPr>
          <w:rFonts w:hint="eastAsia" w:ascii="宋体" w:hAnsi="宋体" w:cs="宋体"/>
          <w:color w:val="000000"/>
          <w:sz w:val="24"/>
          <w:szCs w:val="24"/>
          <w:highlight w:val="none"/>
          <w:lang w:val="en-US" w:eastAsia="zh-CN"/>
        </w:rPr>
        <w:t>出现</w:t>
      </w:r>
      <w:r>
        <w:rPr>
          <w:rFonts w:hint="eastAsia" w:ascii="宋体" w:hAnsi="宋体" w:eastAsia="宋体" w:cs="宋体"/>
          <w:color w:val="000000"/>
          <w:sz w:val="24"/>
          <w:szCs w:val="24"/>
          <w:highlight w:val="none"/>
          <w:lang w:val="en-US" w:eastAsia="zh-CN"/>
        </w:rPr>
        <w:t>故障，及时维保，确保按环保部门要求进行自动监测及数据上传。</w:t>
      </w:r>
    </w:p>
    <w:p w14:paraId="0C6305E3">
      <w:pPr>
        <w:pStyle w:val="7"/>
        <w:pageBreakBefore w:val="0"/>
        <w:kinsoku/>
        <w:wordWrap/>
        <w:topLinePunct w:val="0"/>
        <w:bidi w:val="0"/>
        <w:spacing w:line="360" w:lineRule="auto"/>
        <w:ind w:firstLine="640"/>
        <w:textAlignment w:val="auto"/>
        <w:rPr>
          <w:rFonts w:hint="eastAsia" w:ascii="宋体" w:hAnsi="宋体" w:eastAsia="宋体" w:cs="宋体"/>
          <w:bCs w:val="0"/>
          <w:color w:val="000000"/>
          <w:kern w:val="2"/>
          <w:sz w:val="24"/>
          <w:szCs w:val="24"/>
          <w:highlight w:val="none"/>
          <w:lang w:val="en-US" w:eastAsia="zh-CN" w:bidi="ar-SA"/>
        </w:rPr>
      </w:pPr>
      <w:r>
        <w:rPr>
          <w:rFonts w:hint="eastAsia" w:ascii="宋体" w:hAnsi="宋体" w:eastAsia="宋体" w:cs="宋体"/>
          <w:bCs w:val="0"/>
          <w:color w:val="000000"/>
          <w:kern w:val="2"/>
          <w:sz w:val="24"/>
          <w:szCs w:val="24"/>
          <w:highlight w:val="none"/>
          <w:lang w:val="en-US" w:eastAsia="zh-CN" w:bidi="ar-SA"/>
        </w:rPr>
        <w:t>17.未明确要求的内容，按HJ355-2019《水污染源在线监测系统(CODCr、NH3-N等)运行技术规范》、HJ356-2019《水污染源在线监测系统(CODCr、NH3-N等)数据有效性判别技术规范》等环保相关要求执行。</w:t>
      </w:r>
    </w:p>
    <w:p w14:paraId="76AEAF0D">
      <w:pPr>
        <w:pStyle w:val="7"/>
        <w:pageBreakBefore w:val="0"/>
        <w:kinsoku/>
        <w:wordWrap/>
        <w:topLinePunct w:val="0"/>
        <w:bidi w:val="0"/>
        <w:spacing w:line="360" w:lineRule="auto"/>
        <w:ind w:firstLine="640"/>
        <w:textAlignment w:val="auto"/>
        <w:rPr>
          <w:rFonts w:hint="default" w:ascii="宋体" w:hAnsi="宋体" w:eastAsia="宋体" w:cs="宋体"/>
          <w:bCs w:val="0"/>
          <w:color w:val="000000"/>
          <w:kern w:val="2"/>
          <w:sz w:val="24"/>
          <w:szCs w:val="24"/>
          <w:highlight w:val="none"/>
          <w:lang w:val="en-US" w:eastAsia="zh-CN" w:bidi="ar-SA"/>
        </w:rPr>
      </w:pPr>
      <w:r>
        <w:rPr>
          <w:rFonts w:hint="eastAsia" w:ascii="宋体" w:hAnsi="宋体" w:cs="宋体"/>
          <w:bCs w:val="0"/>
          <w:color w:val="000000"/>
          <w:kern w:val="2"/>
          <w:sz w:val="24"/>
          <w:szCs w:val="24"/>
          <w:highlight w:val="none"/>
          <w:lang w:val="en-US" w:eastAsia="zh-CN" w:bidi="ar-SA"/>
        </w:rPr>
        <w:t>18.按照相关要求对在线设备系统升级。</w:t>
      </w:r>
    </w:p>
    <w:p w14:paraId="19695198">
      <w:pPr>
        <w:pStyle w:val="7"/>
        <w:pageBreakBefore w:val="0"/>
        <w:kinsoku/>
        <w:wordWrap/>
        <w:topLinePunct w:val="0"/>
        <w:bidi w:val="0"/>
        <w:spacing w:line="360" w:lineRule="auto"/>
        <w:ind w:firstLine="64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Cs w:val="0"/>
          <w:color w:val="000000"/>
          <w:kern w:val="2"/>
          <w:sz w:val="24"/>
          <w:szCs w:val="24"/>
          <w:highlight w:val="none"/>
          <w:lang w:val="en-US" w:eastAsia="zh-CN" w:bidi="ar-SA"/>
        </w:rPr>
        <w:t>1</w:t>
      </w:r>
      <w:r>
        <w:rPr>
          <w:rFonts w:hint="eastAsia" w:ascii="宋体" w:hAnsi="宋体" w:cs="宋体"/>
          <w:bCs w:val="0"/>
          <w:color w:val="000000"/>
          <w:kern w:val="2"/>
          <w:sz w:val="24"/>
          <w:szCs w:val="24"/>
          <w:highlight w:val="none"/>
          <w:lang w:val="en-US" w:eastAsia="zh-CN" w:bidi="ar-SA"/>
        </w:rPr>
        <w:t>9</w:t>
      </w:r>
      <w:r>
        <w:rPr>
          <w:rFonts w:hint="eastAsia" w:ascii="宋体" w:hAnsi="宋体" w:eastAsia="宋体" w:cs="宋体"/>
          <w:bCs w:val="0"/>
          <w:color w:val="000000"/>
          <w:kern w:val="2"/>
          <w:sz w:val="24"/>
          <w:szCs w:val="24"/>
          <w:highlight w:val="none"/>
          <w:lang w:val="en-US" w:eastAsia="zh-CN" w:bidi="ar-SA"/>
        </w:rPr>
        <w:t>.</w:t>
      </w:r>
      <w:r>
        <w:rPr>
          <w:rFonts w:hint="eastAsia" w:ascii="宋体" w:hAnsi="宋体" w:eastAsia="宋体" w:cs="宋体"/>
          <w:color w:val="000000"/>
          <w:sz w:val="24"/>
          <w:szCs w:val="24"/>
          <w:highlight w:val="none"/>
          <w:lang w:val="en-US" w:eastAsia="zh-CN"/>
        </w:rPr>
        <w:t>包括但不限于以上服务内容。</w:t>
      </w:r>
    </w:p>
    <w:p w14:paraId="39AA1371">
      <w:pPr>
        <w:pStyle w:val="7"/>
        <w:pageBreakBefore w:val="0"/>
        <w:kinsoku/>
        <w:wordWrap/>
        <w:topLinePunct w:val="0"/>
        <w:bidi w:val="0"/>
        <w:spacing w:line="360" w:lineRule="auto"/>
        <w:ind w:firstLine="640"/>
        <w:textAlignment w:val="auto"/>
        <w:rPr>
          <w:rFonts w:hint="default" w:ascii="宋体" w:hAnsi="宋体" w:eastAsia="宋体" w:cs="宋体"/>
          <w:color w:val="000000"/>
          <w:sz w:val="24"/>
          <w:szCs w:val="24"/>
          <w:highlight w:val="none"/>
          <w:lang w:val="en-US" w:eastAsia="zh-CN"/>
        </w:rPr>
      </w:pPr>
    </w:p>
    <w:p w14:paraId="0EBFF761"/>
    <w:p w14:paraId="0513E881">
      <w:pPr>
        <w:pStyle w:val="6"/>
        <w:numPr>
          <w:numId w:val="0"/>
        </w:numPr>
        <w:ind w:leftChars="0"/>
        <w:rPr>
          <w:rFonts w:hint="eastAsia"/>
          <w:lang w:val="en-US" w:eastAsia="zh-CN"/>
        </w:rPr>
      </w:pPr>
    </w:p>
    <w:p w14:paraId="79425405">
      <w:pPr>
        <w:numPr>
          <w:ilvl w:val="0"/>
          <w:numId w:val="0"/>
        </w:numPr>
        <w:rPr>
          <w:rFonts w:hint="eastAsia" w:ascii="仿宋" w:hAnsi="仿宋" w:eastAsia="仿宋" w:cs="仿宋"/>
          <w:sz w:val="30"/>
          <w:szCs w:val="30"/>
          <w:lang w:val="en-US" w:eastAsia="zh-CN"/>
        </w:rPr>
      </w:pPr>
    </w:p>
    <w:p w14:paraId="7AA746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5D7F6"/>
    <w:multiLevelType w:val="singleLevel"/>
    <w:tmpl w:val="D655D7F6"/>
    <w:lvl w:ilvl="0" w:tentative="0">
      <w:start w:val="8"/>
      <w:numFmt w:val="chineseCounting"/>
      <w:suff w:val="nothing"/>
      <w:lvlText w:val="%1、"/>
      <w:lvlJc w:val="left"/>
      <w:rPr>
        <w:rFonts w:hint="eastAsia"/>
      </w:rPr>
    </w:lvl>
  </w:abstractNum>
  <w:abstractNum w:abstractNumId="1">
    <w:nsid w:val="D9557B69"/>
    <w:multiLevelType w:val="singleLevel"/>
    <w:tmpl w:val="D9557B69"/>
    <w:lvl w:ilvl="0" w:tentative="0">
      <w:start w:val="12"/>
      <w:numFmt w:val="decimal"/>
      <w:lvlText w:val="%1."/>
      <w:lvlJc w:val="left"/>
      <w:pPr>
        <w:tabs>
          <w:tab w:val="left" w:pos="312"/>
        </w:tabs>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D69C7"/>
    <w:rsid w:val="0C4F6255"/>
    <w:rsid w:val="20AD309B"/>
    <w:rsid w:val="22D42307"/>
    <w:rsid w:val="316D3DF6"/>
    <w:rsid w:val="33CB4E75"/>
    <w:rsid w:val="492207A7"/>
    <w:rsid w:val="4B951311"/>
    <w:rsid w:val="50546455"/>
    <w:rsid w:val="511244E6"/>
    <w:rsid w:val="56D57BC4"/>
    <w:rsid w:val="6565643A"/>
    <w:rsid w:val="78F45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标题 5（有编号）（绿盟科技）"/>
    <w:basedOn w:val="1"/>
    <w:next w:val="1"/>
    <w:autoRedefine/>
    <w:qFormat/>
    <w:uiPriority w:val="99"/>
    <w:pPr>
      <w:keepNext/>
      <w:keepLines/>
      <w:widowControl/>
      <w:numPr>
        <w:ilvl w:val="4"/>
        <w:numId w:val="1"/>
      </w:numPr>
      <w:spacing w:before="280" w:after="156" w:line="377" w:lineRule="auto"/>
      <w:jc w:val="left"/>
      <w:textAlignment w:val="baseline"/>
      <w:outlineLvl w:val="4"/>
    </w:pPr>
    <w:rPr>
      <w:rFonts w:ascii="Arial" w:hAnsi="Arial" w:eastAsia="黑体" w:cs="Arial"/>
      <w:b/>
      <w:bCs/>
      <w:kern w:val="0"/>
      <w:sz w:val="24"/>
      <w:szCs w:val="24"/>
    </w:rPr>
  </w:style>
  <w:style w:type="paragraph" w:customStyle="1" w:styleId="7">
    <w:name w:val="列出段落2"/>
    <w:basedOn w:val="1"/>
    <w:unhideWhenUsed/>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413</Words>
  <Characters>458</Characters>
  <Lines>0</Lines>
  <Paragraphs>0</Paragraphs>
  <TotalTime>0</TotalTime>
  <ScaleCrop>false</ScaleCrop>
  <LinksUpToDate>false</LinksUpToDate>
  <CharactersWithSpaces>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2025-09-10T13:46:00Z</dcterms:created>
  <dc:creator>Administrator</dc:creator>
  <cp:lastModifiedBy>孙利</cp:lastModifiedBy>
  <dcterms:modified xsi:type="dcterms:W3CDTF">2025-09-11T01:02:19Z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eyJoZGlkIjoiMThiYzFmMTA3NTJiOTU3ZGViZWYxNTEyNzdhZjZiOTQiLCJ1c2VySWQiOiIxNTYxMDkwODA3In0=</vt:lpwstr>
  </property>
  <property fmtid="{D5CDD505-2E9C-101B-9397-08002B2CF9AE}" pid="4" name="ICV">
    <vt:lpwstr>6CBABBE082F3445EB9E32468F0EFD748_13</vt:lpwstr>
  </property>
</Properties>
</file>