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小标宋简体" w:hAnsi="方正小标宋简体" w:eastAsia="方正小标宋简体" w:cs="方正小标宋简体"/>
          <w:b w:val="0"/>
          <w:bCs w:val="0"/>
          <w:i w:val="0"/>
          <w:iCs w:val="0"/>
          <w:color w:val="000000"/>
          <w:kern w:val="0"/>
          <w:sz w:val="36"/>
          <w:szCs w:val="36"/>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资阳市中心医院</w:t>
      </w: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br w:type="textWrapping"/>
      </w: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HIS等系统维保服务项目调研公告（第二次）</w:t>
      </w:r>
    </w:p>
    <w:p>
      <w:pPr>
        <w:pStyle w:val="5"/>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i w:val="0"/>
          <w:iCs w:val="0"/>
          <w:color w:val="000000"/>
          <w:sz w:val="28"/>
          <w:szCs w:val="28"/>
          <w:u w:val="none"/>
          <w:lang w:val="en-US" w:eastAsia="zh-CN"/>
        </w:rPr>
      </w:pP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ascii="仿宋" w:hAnsi="仿宋" w:eastAsia="仿宋" w:cs="仿宋"/>
          <w:i w:val="0"/>
          <w:iCs w:val="0"/>
          <w:caps w:val="0"/>
          <w:color w:val="000000"/>
          <w:spacing w:val="0"/>
          <w:sz w:val="28"/>
          <w:szCs w:val="28"/>
          <w:shd w:val="clear" w:fill="FFFFFF"/>
        </w:rPr>
        <w:t>因第一次挂网调研</w:t>
      </w:r>
      <w:r>
        <w:rPr>
          <w:rFonts w:hint="eastAsia" w:ascii="仿宋" w:hAnsi="仿宋" w:cs="仿宋"/>
          <w:i w:val="0"/>
          <w:iCs w:val="0"/>
          <w:caps w:val="0"/>
          <w:color w:val="000000"/>
          <w:spacing w:val="0"/>
          <w:sz w:val="28"/>
          <w:szCs w:val="28"/>
          <w:shd w:val="clear" w:fill="FFFFFF"/>
          <w:lang w:val="en-US" w:eastAsia="zh-CN"/>
        </w:rPr>
        <w:t>单项</w:t>
      </w:r>
      <w:r>
        <w:rPr>
          <w:rFonts w:ascii="仿宋" w:hAnsi="仿宋" w:eastAsia="仿宋" w:cs="仿宋"/>
          <w:i w:val="0"/>
          <w:iCs w:val="0"/>
          <w:caps w:val="0"/>
          <w:color w:val="000000"/>
          <w:spacing w:val="0"/>
          <w:sz w:val="28"/>
          <w:szCs w:val="28"/>
          <w:shd w:val="clear" w:fill="FFFFFF"/>
        </w:rPr>
        <w:t>报名公司不足三家，现将第二次调研公告如下，诚邀</w:t>
      </w:r>
      <w:r>
        <w:rPr>
          <w:rFonts w:hint="eastAsia" w:ascii="仿宋" w:hAnsi="仿宋" w:cs="仿宋"/>
          <w:i w:val="0"/>
          <w:iCs w:val="0"/>
          <w:caps w:val="0"/>
          <w:color w:val="000000"/>
          <w:spacing w:val="0"/>
          <w:sz w:val="28"/>
          <w:szCs w:val="28"/>
          <w:shd w:val="clear" w:fill="FFFFFF"/>
          <w:lang w:val="en-US" w:eastAsia="zh-CN"/>
        </w:rPr>
        <w:t>各</w:t>
      </w:r>
      <w:r>
        <w:rPr>
          <w:rFonts w:ascii="仿宋" w:hAnsi="仿宋" w:eastAsia="仿宋" w:cs="仿宋"/>
          <w:i w:val="0"/>
          <w:iCs w:val="0"/>
          <w:caps w:val="0"/>
          <w:color w:val="000000"/>
          <w:spacing w:val="0"/>
          <w:sz w:val="28"/>
          <w:szCs w:val="28"/>
          <w:shd w:val="clear" w:fill="FFFFFF"/>
        </w:rPr>
        <w:t>潜在供应商报名，已参加此项目调研报名的供应商可不用再二次提供报名资料。现将有关事宜公告如下：</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一、项目概述</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通过本次服务，确保各系统安全、稳定，确保各系统的功能正常运行，提升系统的运行效率和用户体验，促进医院信息化高质量发展。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二、报名时间、方式</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报名时间：本公告自挂网公告日起，截止时间为自发布公告起第5个工作日（包含发布当天），公告截止日期后递交的报名资料无效。</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报名方式:本次市场调研活动采用邮箱报名，不接受现场报名。</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1.报名资料按附件《报名须知》要求，将电子文档（盖章扫描件和可编辑版本）发送至</w:t>
      </w:r>
      <w:r>
        <w:rPr>
          <w:rFonts w:hint="eastAsia" w:ascii="仿宋" w:hAnsi="仿宋" w:eastAsia="仿宋" w:cs="仿宋"/>
          <w:b w:val="0"/>
          <w:bCs w:val="0"/>
          <w:color w:val="auto"/>
          <w:sz w:val="30"/>
          <w:szCs w:val="30"/>
          <w:lang w:val="en-US" w:eastAsia="zh-CN"/>
        </w:rPr>
        <w:t>zyszxyyxxb@163.com</w:t>
      </w:r>
      <w:r>
        <w:rPr>
          <w:rFonts w:hint="eastAsia" w:ascii="仿宋" w:hAnsi="仿宋" w:eastAsia="仿宋" w:cs="仿宋"/>
          <w:i w:val="0"/>
          <w:iCs w:val="0"/>
          <w:color w:val="000000"/>
          <w:sz w:val="28"/>
          <w:szCs w:val="28"/>
          <w:u w:val="none"/>
          <w:lang w:val="en-US" w:eastAsia="zh-CN"/>
        </w:rPr>
        <w:t>。邮件名称：“XXXX项目名称+公司名称+联系人+联系电话）”报名资料目录见附件。</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w:t>
      </w:r>
      <w:r>
        <w:rPr>
          <w:rFonts w:hint="eastAsia" w:ascii="仿宋" w:hAnsi="仿宋" w:eastAsia="仿宋" w:cs="仿宋"/>
          <w:i w:val="0"/>
          <w:iCs w:val="0"/>
          <w:color w:val="000000"/>
          <w:sz w:val="28"/>
          <w:szCs w:val="28"/>
          <w:u w:val="none"/>
          <w:lang w:val="en-US" w:eastAsia="zh-CN"/>
        </w:rPr>
        <w:t>.联系人：</w:t>
      </w:r>
      <w:r>
        <w:rPr>
          <w:rFonts w:hint="eastAsia" w:ascii="仿宋" w:hAnsi="仿宋" w:cs="仿宋"/>
          <w:i w:val="0"/>
          <w:iCs w:val="0"/>
          <w:color w:val="000000"/>
          <w:sz w:val="28"/>
          <w:szCs w:val="28"/>
          <w:u w:val="none"/>
          <w:lang w:val="en-US" w:eastAsia="zh-CN"/>
        </w:rPr>
        <w:t>邓老师，</w:t>
      </w:r>
      <w:r>
        <w:rPr>
          <w:rFonts w:hint="eastAsia" w:ascii="仿宋" w:hAnsi="仿宋" w:eastAsia="仿宋" w:cs="仿宋"/>
          <w:i w:val="0"/>
          <w:iCs w:val="0"/>
          <w:color w:val="000000"/>
          <w:sz w:val="28"/>
          <w:szCs w:val="28"/>
          <w:u w:val="none"/>
          <w:lang w:val="en-US" w:eastAsia="zh-CN"/>
        </w:rPr>
        <w:t>报名资询：028-26219526</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w:t>
      </w:r>
      <w:r>
        <w:rPr>
          <w:rFonts w:hint="eastAsia" w:ascii="仿宋" w:hAnsi="仿宋" w:eastAsia="仿宋" w:cs="仿宋"/>
          <w:i w:val="0"/>
          <w:iCs w:val="0"/>
          <w:color w:val="000000"/>
          <w:sz w:val="28"/>
          <w:szCs w:val="28"/>
          <w:u w:val="none"/>
          <w:lang w:val="en-US" w:eastAsia="zh-CN"/>
        </w:rPr>
        <w:t>线上或线下集中调研需求论证时间及地点，另行通知</w:t>
      </w:r>
      <w:r>
        <w:rPr>
          <w:rFonts w:hint="eastAsia" w:ascii="仿宋" w:hAnsi="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请参加调研会的</w:t>
      </w:r>
      <w:r>
        <w:rPr>
          <w:rFonts w:hint="eastAsia" w:ascii="仿宋" w:hAnsi="仿宋" w:cs="仿宋"/>
          <w:i w:val="0"/>
          <w:iCs w:val="0"/>
          <w:color w:val="000000"/>
          <w:sz w:val="28"/>
          <w:szCs w:val="28"/>
          <w:u w:val="none"/>
          <w:lang w:val="en-US" w:eastAsia="zh-CN"/>
        </w:rPr>
        <w:t>各潜在供应商</w:t>
      </w:r>
      <w:r>
        <w:rPr>
          <w:rFonts w:hint="eastAsia" w:ascii="仿宋" w:hAnsi="仿宋" w:eastAsia="仿宋" w:cs="仿宋"/>
          <w:i w:val="0"/>
          <w:iCs w:val="0"/>
          <w:color w:val="000000"/>
          <w:sz w:val="28"/>
          <w:szCs w:val="28"/>
          <w:u w:val="none"/>
          <w:lang w:val="en-US" w:eastAsia="zh-CN"/>
        </w:rPr>
        <w:t>准备相应的纸质版</w:t>
      </w:r>
      <w:r>
        <w:rPr>
          <w:rFonts w:hint="eastAsia" w:ascii="仿宋" w:hAnsi="仿宋" w:cs="仿宋"/>
          <w:i w:val="0"/>
          <w:iCs w:val="0"/>
          <w:color w:val="000000"/>
          <w:sz w:val="28"/>
          <w:szCs w:val="28"/>
          <w:u w:val="none"/>
          <w:lang w:val="en-US" w:eastAsia="zh-CN"/>
        </w:rPr>
        <w:t>报价表</w:t>
      </w:r>
      <w:r>
        <w:rPr>
          <w:rFonts w:hint="eastAsia" w:ascii="仿宋" w:hAnsi="仿宋" w:eastAsia="仿宋" w:cs="仿宋"/>
          <w:i w:val="0"/>
          <w:iCs w:val="0"/>
          <w:color w:val="000000"/>
          <w:sz w:val="28"/>
          <w:szCs w:val="28"/>
          <w:u w:val="none"/>
          <w:lang w:val="en-US" w:eastAsia="zh-CN"/>
        </w:rPr>
        <w:t>及汇报PPT等。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default"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三、其他说明</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本次公开市场调研内容因市场了解的局限性，仅作为医院市场调研参考使用，我院有权使用所征集技术指标中的相关内容，不作为正式采购依据，无任何针对性，如有不全之处，敬请理解，并请供应商详实介绍推荐产品，本项目最终配置和技术参数以采购时为准。对未公告配置及技术性能的，请供应商自行提供。</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本次市场调研需提供项目参考价格和配置清单，配置清单范围包括但不限于本公告所提供的配置需求内容，各供应商可依据本公司提供的具体方案对配置清单进行合理调整。所谓参考价格是指按照与我院项目相似或体量相当的建设方案计算的参考价格，如果项目中集成有硬件，请在配置清单中罗列，硬件配置的参考报价仅用于医院后期采购参考，并不一定集成在本项目之中。</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3.参加供应商保证拟推荐货物应为合法、全新、未使用过的原装正品，配置应为出厂标准配置，如有选配件需单独注明；如需使用单一来源的耗材也需单独注明。</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4.参与本次市场调研活动的供应商，我院不作任何承诺。因参与市场调研所产生的一切费用由报名供应商自行承担，我院不支付任何相关费用。本次市场调研的后续工作及结果，我院不做任何解释。本次市场调研的解释权归院方。</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pPr>
        <w:pStyle w:val="14"/>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pPr>
        <w:pStyle w:val="14"/>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1.请参与报名的各潜在供应商在准备报名资料时，按照报名资料目录顺序和模板提交，若其中某项资料不需提供，请勿删除页面，自动跳过当前页即可。</w:t>
      </w:r>
    </w:p>
    <w:p>
      <w:pPr>
        <w:pStyle w:val="14"/>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pPr>
        <w:pStyle w:val="14"/>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3.报名资料电子文档（盖章扫描件和可编辑版本）发送至zyszxyyxxb@163.com。邮件名称：</w:t>
      </w:r>
      <w:r>
        <w:rPr>
          <w:rFonts w:hint="eastAsia" w:ascii="仿宋" w:hAnsi="仿宋" w:eastAsia="仿宋" w:cs="仿宋"/>
          <w:b w:val="0"/>
          <w:bCs w:val="0"/>
          <w:color w:val="FF0000"/>
          <w:sz w:val="30"/>
          <w:szCs w:val="30"/>
          <w:lang w:val="en-US" w:eastAsia="zh-CN"/>
        </w:rPr>
        <w:t>“XXXX项目名称（公司名称+联系人+联系电话）</w:t>
      </w:r>
      <w:r>
        <w:rPr>
          <w:rFonts w:hint="eastAsia" w:ascii="仿宋" w:hAnsi="仿宋" w:eastAsia="仿宋" w:cs="仿宋"/>
          <w:b w:val="0"/>
          <w:bCs w:val="0"/>
          <w:color w:val="auto"/>
          <w:sz w:val="30"/>
          <w:szCs w:val="30"/>
          <w:lang w:val="en-US" w:eastAsia="zh-CN"/>
        </w:rPr>
        <w:t>”</w:t>
      </w:r>
    </w:p>
    <w:p>
      <w:pPr>
        <w:pStyle w:val="14"/>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pPr>
        <w:pStyle w:val="14"/>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pPr>
        <w:rPr>
          <w:rFonts w:hint="eastAsia"/>
          <w:lang w:val="en-US" w:eastAsia="zh-CN"/>
        </w:rPr>
      </w:pPr>
    </w:p>
    <w:p>
      <w:pPr>
        <w:pStyle w:val="5"/>
        <w:rPr>
          <w:rFonts w:hint="default"/>
          <w:lang w:val="en-US" w:eastAsia="zh-CN"/>
        </w:rPr>
      </w:pPr>
    </w:p>
    <w:p>
      <w:pPr>
        <w:pStyle w:val="5"/>
        <w:rPr>
          <w:rFonts w:hint="eastAsia"/>
          <w:lang w:eastAsia="zh-CN"/>
        </w:rPr>
      </w:pPr>
    </w:p>
    <w:p>
      <w:pPr>
        <w:pStyle w:val="14"/>
      </w:pPr>
    </w:p>
    <w:p>
      <w:pPr>
        <w:pStyle w:val="14"/>
      </w:pPr>
    </w:p>
    <w:p>
      <w:pPr>
        <w:pStyle w:val="14"/>
      </w:pPr>
    </w:p>
    <w:p>
      <w:pPr>
        <w:pStyle w:val="14"/>
      </w:pPr>
    </w:p>
    <w:p>
      <w:pPr>
        <w:pStyle w:val="14"/>
      </w:pPr>
    </w:p>
    <w:p>
      <w:pPr>
        <w:pStyle w:val="14"/>
      </w:pPr>
      <w:bookmarkStart w:id="33" w:name="_GoBack"/>
      <w:bookmarkEnd w:id="33"/>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7"/>
            <w:tabs>
              <w:tab w:val="right" w:leader="dot" w:pos="8306"/>
            </w:tabs>
          </w:pPr>
          <w:r>
            <w:fldChar w:fldCharType="begin"/>
          </w:r>
          <w:r>
            <w:instrText xml:space="preserve">TOC \o "1-3" \h \u </w:instrText>
          </w:r>
          <w:r>
            <w:fldChar w:fldCharType="separate"/>
          </w:r>
          <w:r>
            <w:fldChar w:fldCharType="begin"/>
          </w:r>
          <w:r>
            <w:instrText xml:space="preserve"> HYPERLINK \l _Toc25232 </w:instrText>
          </w:r>
          <w:r>
            <w:fldChar w:fldCharType="separate"/>
          </w:r>
          <w:r>
            <w:rPr>
              <w:rFonts w:hint="eastAsia"/>
            </w:rPr>
            <w:t>一、 报名</w:t>
          </w:r>
          <w:r>
            <w:rPr>
              <w:rFonts w:hint="eastAsia"/>
              <w:lang w:eastAsia="zh-CN"/>
            </w:rPr>
            <w:t>登记</w:t>
          </w:r>
          <w:r>
            <w:rPr>
              <w:rFonts w:hint="eastAsia"/>
            </w:rPr>
            <w:t>表</w:t>
          </w:r>
          <w:r>
            <w:tab/>
          </w:r>
          <w:r>
            <w:fldChar w:fldCharType="begin"/>
          </w:r>
          <w:r>
            <w:instrText xml:space="preserve"> PAGEREF _Toc25232 \h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_Toc2616 </w:instrText>
          </w:r>
          <w:r>
            <w:fldChar w:fldCharType="separate"/>
          </w:r>
          <w:r>
            <w:rPr>
              <w:rFonts w:hint="eastAsia"/>
              <w:lang w:val="en-US" w:eastAsia="zh-CN"/>
            </w:rPr>
            <w:t>二、资质：</w:t>
          </w:r>
          <w:r>
            <w:tab/>
          </w:r>
          <w:r>
            <w:fldChar w:fldCharType="begin"/>
          </w:r>
          <w:r>
            <w:instrText xml:space="preserve"> PAGEREF _Toc2616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_Toc21365 </w:instrText>
          </w:r>
          <w:r>
            <w:fldChar w:fldCharType="separate"/>
          </w:r>
          <w:r>
            <w:rPr>
              <w:rFonts w:hint="eastAsia"/>
              <w:lang w:val="en-US" w:eastAsia="zh-CN"/>
            </w:rPr>
            <w:t>1.1</w:t>
          </w:r>
          <w:r>
            <w:rPr>
              <w:rFonts w:hint="eastAsia"/>
            </w:rPr>
            <w:t>营业执照</w:t>
          </w:r>
          <w:r>
            <w:tab/>
          </w:r>
          <w:r>
            <w:fldChar w:fldCharType="begin"/>
          </w:r>
          <w:r>
            <w:instrText xml:space="preserve"> PAGEREF _Toc21365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_Toc15889 </w:instrText>
          </w:r>
          <w:r>
            <w:fldChar w:fldCharType="separate"/>
          </w:r>
          <w:r>
            <w:rPr>
              <w:rFonts w:hint="eastAsia"/>
              <w:lang w:val="en-US" w:eastAsia="zh-CN"/>
            </w:rPr>
            <w:t>1.1</w:t>
          </w:r>
          <w:r>
            <w:rPr>
              <w:rFonts w:hint="eastAsia"/>
              <w:lang w:eastAsia="zh-CN"/>
            </w:rPr>
            <w:t>法定代表人授权书</w:t>
          </w:r>
          <w:r>
            <w:tab/>
          </w:r>
          <w:r>
            <w:fldChar w:fldCharType="begin"/>
          </w:r>
          <w:r>
            <w:instrText xml:space="preserve"> PAGEREF _Toc15889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_Toc22138 </w:instrText>
          </w:r>
          <w:r>
            <w:fldChar w:fldCharType="separate"/>
          </w:r>
          <w:r>
            <w:rPr>
              <w:rFonts w:hint="eastAsia"/>
              <w:lang w:val="en-US" w:eastAsia="zh-CN"/>
            </w:rPr>
            <w:t>1.3</w:t>
          </w:r>
          <w:r>
            <w:rPr>
              <w:rFonts w:hint="eastAsia"/>
              <w:lang w:eastAsia="zh-CN"/>
            </w:rPr>
            <w:t>法人及被授权人身份证</w:t>
          </w:r>
          <w:r>
            <w:tab/>
          </w:r>
          <w:r>
            <w:fldChar w:fldCharType="begin"/>
          </w:r>
          <w:r>
            <w:instrText xml:space="preserve"> PAGEREF _Toc22138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_Toc17143 </w:instrText>
          </w:r>
          <w:r>
            <w:fldChar w:fldCharType="separate"/>
          </w:r>
          <w:r>
            <w:rPr>
              <w:rFonts w:hint="eastAsia"/>
              <w:lang w:val="en-US" w:eastAsia="zh-CN"/>
            </w:rPr>
            <w:t>1.4</w:t>
          </w:r>
          <w:r>
            <w:rPr>
              <w:rFonts w:hint="eastAsia"/>
              <w:lang w:eastAsia="zh-CN"/>
            </w:rPr>
            <w:t>公司资质</w:t>
          </w:r>
          <w:r>
            <w:tab/>
          </w:r>
          <w:r>
            <w:fldChar w:fldCharType="begin"/>
          </w:r>
          <w:r>
            <w:instrText xml:space="preserve"> PAGEREF _Toc17143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_Toc24835 </w:instrText>
          </w:r>
          <w:r>
            <w:fldChar w:fldCharType="separate"/>
          </w:r>
          <w:r>
            <w:rPr>
              <w:rFonts w:hint="eastAsia"/>
              <w:lang w:val="en-US" w:eastAsia="zh-CN"/>
            </w:rPr>
            <w:t>1.5软件资质</w:t>
          </w:r>
          <w:r>
            <w:tab/>
          </w:r>
          <w:r>
            <w:fldChar w:fldCharType="begin"/>
          </w:r>
          <w:r>
            <w:instrText xml:space="preserve"> PAGEREF _Toc24835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_Toc3652 </w:instrText>
          </w:r>
          <w:r>
            <w:fldChar w:fldCharType="separate"/>
          </w:r>
          <w:r>
            <w:rPr>
              <w:rFonts w:hint="eastAsia"/>
              <w:lang w:val="en-US" w:eastAsia="zh-CN"/>
            </w:rPr>
            <w:t>1.6本项目涉及</w:t>
          </w:r>
          <w:r>
            <w:rPr>
              <w:rFonts w:hint="eastAsia"/>
              <w:lang w:eastAsia="zh-CN"/>
            </w:rPr>
            <w:t>资质</w:t>
          </w:r>
          <w:r>
            <w:tab/>
          </w:r>
          <w:r>
            <w:fldChar w:fldCharType="begin"/>
          </w:r>
          <w:r>
            <w:instrText xml:space="preserve"> PAGEREF _Toc3652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_Toc6788 </w:instrText>
          </w:r>
          <w:r>
            <w:fldChar w:fldCharType="separate"/>
          </w:r>
          <w:r>
            <w:rPr>
              <w:rFonts w:hint="eastAsia"/>
              <w:lang w:val="en-US" w:eastAsia="zh-CN"/>
            </w:rPr>
            <w:t>1.7开发商委托销售授权函</w:t>
          </w:r>
          <w:r>
            <w:tab/>
          </w:r>
          <w:r>
            <w:fldChar w:fldCharType="begin"/>
          </w:r>
          <w:r>
            <w:instrText xml:space="preserve"> PAGEREF _Toc6788 \h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_Toc31535 </w:instrText>
          </w:r>
          <w:r>
            <w:fldChar w:fldCharType="separate"/>
          </w:r>
          <w:r>
            <w:rPr>
              <w:rFonts w:hint="eastAsia"/>
              <w:lang w:val="en-US" w:eastAsia="zh-CN"/>
            </w:rPr>
            <w:t>三、项目调研情况一览汇总表</w:t>
          </w:r>
          <w:r>
            <w:tab/>
          </w:r>
          <w:r>
            <w:fldChar w:fldCharType="begin"/>
          </w:r>
          <w:r>
            <w:instrText xml:space="preserve"> PAGEREF _Toc31535 \h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_Toc17565 </w:instrText>
          </w:r>
          <w:r>
            <w:fldChar w:fldCharType="separate"/>
          </w:r>
          <w:r>
            <w:rPr>
              <w:rFonts w:hint="eastAsia"/>
              <w:lang w:val="en-US" w:eastAsia="zh-CN"/>
            </w:rPr>
            <w:t>四、三甲综合医院同类项目案例</w:t>
          </w:r>
          <w:r>
            <w:tab/>
          </w:r>
          <w:r>
            <w:fldChar w:fldCharType="begin"/>
          </w:r>
          <w:r>
            <w:instrText xml:space="preserve"> PAGEREF _Toc17565 \h </w:instrText>
          </w:r>
          <w:r>
            <w:fldChar w:fldCharType="separate"/>
          </w:r>
          <w:r>
            <w:t>18</w:t>
          </w:r>
          <w:r>
            <w:fldChar w:fldCharType="end"/>
          </w:r>
          <w:r>
            <w:fldChar w:fldCharType="end"/>
          </w:r>
        </w:p>
        <w:p>
          <w:pPr>
            <w:pStyle w:val="8"/>
            <w:tabs>
              <w:tab w:val="right" w:leader="dot" w:pos="8306"/>
            </w:tabs>
          </w:pPr>
          <w:r>
            <w:fldChar w:fldCharType="begin"/>
          </w:r>
          <w:r>
            <w:instrText xml:space="preserve"> HYPERLINK \l _Toc29430 </w:instrText>
          </w:r>
          <w:r>
            <w:fldChar w:fldCharType="separate"/>
          </w:r>
          <w:r>
            <w:rPr>
              <w:rFonts w:hint="eastAsia"/>
              <w:lang w:val="en-US" w:eastAsia="zh-CN"/>
            </w:rPr>
            <w:t>4.1四川省内（）家</w:t>
          </w:r>
          <w:r>
            <w:tab/>
          </w:r>
          <w:r>
            <w:fldChar w:fldCharType="begin"/>
          </w:r>
          <w:r>
            <w:instrText xml:space="preserve"> PAGEREF _Toc29430 \h </w:instrText>
          </w:r>
          <w:r>
            <w:fldChar w:fldCharType="separate"/>
          </w:r>
          <w:r>
            <w:t>18</w:t>
          </w:r>
          <w:r>
            <w:fldChar w:fldCharType="end"/>
          </w:r>
          <w:r>
            <w:fldChar w:fldCharType="end"/>
          </w:r>
        </w:p>
        <w:p>
          <w:pPr>
            <w:pStyle w:val="8"/>
            <w:tabs>
              <w:tab w:val="right" w:leader="dot" w:pos="8306"/>
            </w:tabs>
          </w:pPr>
          <w:r>
            <w:fldChar w:fldCharType="begin"/>
          </w:r>
          <w:r>
            <w:instrText xml:space="preserve"> HYPERLINK \l _Toc8493 </w:instrText>
          </w:r>
          <w:r>
            <w:fldChar w:fldCharType="separate"/>
          </w:r>
          <w:r>
            <w:rPr>
              <w:rFonts w:hint="eastAsia"/>
              <w:lang w:val="en-US" w:eastAsia="zh-CN"/>
            </w:rPr>
            <w:t>4.1四川省外（）家</w:t>
          </w:r>
          <w:r>
            <w:tab/>
          </w:r>
          <w:r>
            <w:fldChar w:fldCharType="begin"/>
          </w:r>
          <w:r>
            <w:instrText xml:space="preserve"> PAGEREF _Toc8493 \h </w:instrText>
          </w:r>
          <w:r>
            <w:fldChar w:fldCharType="separate"/>
          </w:r>
          <w:r>
            <w:t>18</w:t>
          </w:r>
          <w:r>
            <w:fldChar w:fldCharType="end"/>
          </w:r>
          <w:r>
            <w:fldChar w:fldCharType="end"/>
          </w:r>
        </w:p>
        <w:p>
          <w:pPr>
            <w:pStyle w:val="8"/>
            <w:tabs>
              <w:tab w:val="right" w:leader="dot" w:pos="8306"/>
            </w:tabs>
          </w:pPr>
          <w:r>
            <w:fldChar w:fldCharType="begin"/>
          </w:r>
          <w:r>
            <w:instrText xml:space="preserve"> HYPERLINK \l _Toc7986 </w:instrText>
          </w:r>
          <w:r>
            <w:fldChar w:fldCharType="separate"/>
          </w:r>
          <w:r>
            <w:rPr>
              <w:rFonts w:hint="eastAsia"/>
              <w:lang w:val="en-US" w:eastAsia="zh-CN"/>
            </w:rPr>
            <w:t>4.3三甲综合医院同类项目案例合同及验收佐证</w:t>
          </w:r>
          <w:r>
            <w:tab/>
          </w:r>
          <w:r>
            <w:fldChar w:fldCharType="begin"/>
          </w:r>
          <w:r>
            <w:instrText xml:space="preserve"> PAGEREF _Toc7986 \h </w:instrText>
          </w:r>
          <w:r>
            <w:fldChar w:fldCharType="separate"/>
          </w:r>
          <w:r>
            <w:t>18</w:t>
          </w:r>
          <w:r>
            <w:fldChar w:fldCharType="end"/>
          </w:r>
          <w:r>
            <w:fldChar w:fldCharType="end"/>
          </w:r>
        </w:p>
        <w:p>
          <w:pPr>
            <w:pStyle w:val="7"/>
            <w:tabs>
              <w:tab w:val="right" w:leader="dot" w:pos="8306"/>
            </w:tabs>
          </w:pPr>
          <w:r>
            <w:fldChar w:fldCharType="begin"/>
          </w:r>
          <w:r>
            <w:instrText xml:space="preserve"> HYPERLINK \l _Toc11734 </w:instrText>
          </w:r>
          <w:r>
            <w:fldChar w:fldCharType="separate"/>
          </w:r>
          <w:r>
            <w:rPr>
              <w:rFonts w:hint="eastAsia"/>
              <w:lang w:val="en-US" w:eastAsia="zh-CN"/>
            </w:rPr>
            <w:t>五、维保服务方案</w:t>
          </w:r>
          <w:r>
            <w:tab/>
          </w:r>
          <w:r>
            <w:fldChar w:fldCharType="begin"/>
          </w:r>
          <w:r>
            <w:instrText xml:space="preserve"> PAGEREF _Toc11734 \h </w:instrText>
          </w:r>
          <w:r>
            <w:fldChar w:fldCharType="separate"/>
          </w:r>
          <w:r>
            <w:t>18</w:t>
          </w:r>
          <w:r>
            <w:fldChar w:fldCharType="end"/>
          </w:r>
          <w:r>
            <w:fldChar w:fldCharType="end"/>
          </w:r>
        </w:p>
        <w:p>
          <w:r>
            <w:fldChar w:fldCharType="end"/>
          </w:r>
        </w:p>
      </w:sdtContent>
    </w:sdt>
    <w:p/>
    <w:p/>
    <w:p/>
    <w:p/>
    <w:p/>
    <w:p/>
    <w:p/>
    <w:p/>
    <w:p/>
    <w:p/>
    <w:p/>
    <w:p>
      <w:pPr>
        <w:sectPr>
          <w:pgSz w:w="11906" w:h="16838"/>
          <w:pgMar w:top="1134" w:right="1800" w:bottom="1134" w:left="1800" w:header="851" w:footer="992" w:gutter="0"/>
          <w:cols w:space="425" w:num="1"/>
          <w:docGrid w:type="lines" w:linePitch="312" w:charSpace="0"/>
        </w:sectPr>
      </w:pPr>
    </w:p>
    <w:p>
      <w:pPr>
        <w:pStyle w:val="2"/>
        <w:keepNext/>
        <w:keepLines/>
        <w:pageBreakBefore w:val="0"/>
        <w:widowControl w:val="0"/>
        <w:numPr>
          <w:ilvl w:val="0"/>
          <w:numId w:val="2"/>
        </w:numPr>
        <w:kinsoku/>
        <w:wordWrap/>
        <w:overflowPunct/>
        <w:topLinePunct w:val="0"/>
        <w:autoSpaceDE/>
        <w:autoSpaceDN/>
        <w:bidi w:val="0"/>
        <w:adjustRightInd/>
        <w:snapToGrid/>
        <w:spacing w:before="100" w:after="100"/>
        <w:jc w:val="both"/>
        <w:textAlignment w:val="auto"/>
        <w:rPr>
          <w:rFonts w:hint="eastAsia"/>
        </w:rPr>
      </w:pPr>
      <w:bookmarkStart w:id="0" w:name="_Toc10065"/>
      <w:bookmarkStart w:id="1" w:name="_Toc247514300"/>
      <w:bookmarkStart w:id="2" w:name="_Toc7415"/>
      <w:bookmarkStart w:id="3" w:name="_Toc25232"/>
      <w:bookmarkStart w:id="4" w:name="_Toc144974876"/>
      <w:bookmarkStart w:id="5" w:name="_Toc152042597"/>
      <w:bookmarkStart w:id="6" w:name="_Toc152045808"/>
      <w:bookmarkStart w:id="7" w:name="_Toc247527848"/>
      <w:bookmarkStart w:id="8" w:name="_Toc427002393"/>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0"/>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各潜在供应商名称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numPr>
          <w:ilvl w:val="0"/>
          <w:numId w:val="0"/>
        </w:numPr>
        <w:rPr>
          <w:rFonts w:hint="eastAsia"/>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2616"/>
      <w:bookmarkStart w:id="10" w:name="_Toc2669"/>
      <w:r>
        <w:rPr>
          <w:rFonts w:hint="eastAsia"/>
          <w:lang w:val="en-US" w:eastAsia="zh-CN"/>
        </w:rPr>
        <w:t>二、资质：</w:t>
      </w:r>
      <w:bookmarkEnd w:id="9"/>
    </w:p>
    <w:p>
      <w:pPr>
        <w:pStyle w:val="3"/>
        <w:bidi w:val="0"/>
        <w:rPr>
          <w:rFonts w:hint="eastAsia"/>
        </w:rPr>
      </w:pPr>
      <w:bookmarkStart w:id="11" w:name="_Toc21365"/>
      <w:r>
        <w:rPr>
          <w:rFonts w:hint="eastAsia"/>
          <w:lang w:val="en-US" w:eastAsia="zh-CN"/>
        </w:rPr>
        <w:t>1.1</w:t>
      </w:r>
      <w:r>
        <w:rPr>
          <w:rFonts w:hint="eastAsia"/>
        </w:rPr>
        <w:t>营业执照</w:t>
      </w:r>
      <w:bookmarkEnd w:id="10"/>
      <w:bookmarkEnd w:id="11"/>
      <w:bookmarkStart w:id="12" w:name="_Toc3036"/>
    </w:p>
    <w:p>
      <w:pPr>
        <w:pStyle w:val="3"/>
        <w:bidi w:val="0"/>
        <w:rPr>
          <w:rFonts w:hint="eastAsia"/>
          <w:lang w:val="en-US" w:eastAsia="zh-CN"/>
        </w:rPr>
      </w:pPr>
      <w:bookmarkStart w:id="13" w:name="_Toc15889"/>
      <w:r>
        <w:rPr>
          <w:rFonts w:hint="eastAsia"/>
          <w:lang w:val="en-US" w:eastAsia="zh-CN"/>
        </w:rPr>
        <w:t>1.1</w:t>
      </w:r>
      <w:r>
        <w:rPr>
          <w:rFonts w:hint="eastAsia"/>
          <w:lang w:eastAsia="zh-CN"/>
        </w:rPr>
        <w:t>法定代表人授权书</w:t>
      </w:r>
      <w:bookmarkEnd w:id="12"/>
      <w:bookmarkEnd w:id="13"/>
    </w:p>
    <w:p>
      <w:pPr>
        <w:pStyle w:val="3"/>
        <w:bidi w:val="0"/>
        <w:rPr>
          <w:rFonts w:hint="eastAsia"/>
          <w:lang w:eastAsia="zh-CN"/>
        </w:rPr>
      </w:pPr>
      <w:bookmarkStart w:id="14" w:name="_Toc22138"/>
      <w:bookmarkStart w:id="15" w:name="_Toc5131"/>
      <w:r>
        <w:rPr>
          <w:rFonts w:hint="eastAsia"/>
          <w:lang w:val="en-US" w:eastAsia="zh-CN"/>
        </w:rPr>
        <w:t>1.3</w:t>
      </w:r>
      <w:r>
        <w:rPr>
          <w:rFonts w:hint="eastAsia"/>
          <w:lang w:eastAsia="zh-CN"/>
        </w:rPr>
        <w:t>法人及被授权人身份证</w:t>
      </w:r>
      <w:bookmarkEnd w:id="14"/>
      <w:bookmarkEnd w:id="15"/>
    </w:p>
    <w:p>
      <w:pPr>
        <w:pStyle w:val="3"/>
        <w:bidi w:val="0"/>
        <w:rPr>
          <w:rFonts w:hint="eastAsia"/>
          <w:lang w:eastAsia="zh-CN"/>
        </w:rPr>
      </w:pPr>
      <w:bookmarkStart w:id="16" w:name="_Toc22588"/>
      <w:bookmarkStart w:id="17" w:name="_Toc17143"/>
      <w:r>
        <w:rPr>
          <w:rFonts w:hint="eastAsia"/>
          <w:lang w:val="en-US" w:eastAsia="zh-CN"/>
        </w:rPr>
        <w:t>1.4</w:t>
      </w:r>
      <w:r>
        <w:rPr>
          <w:rFonts w:hint="eastAsia"/>
          <w:lang w:eastAsia="zh-CN"/>
        </w:rPr>
        <w:t>公司资质</w:t>
      </w:r>
      <w:bookmarkEnd w:id="16"/>
      <w:bookmarkEnd w:id="17"/>
    </w:p>
    <w:p>
      <w:pPr>
        <w:pStyle w:val="3"/>
        <w:bidi w:val="0"/>
        <w:rPr>
          <w:rFonts w:hint="default"/>
          <w:lang w:val="en-US" w:eastAsia="zh-CN"/>
        </w:rPr>
      </w:pPr>
      <w:bookmarkStart w:id="18" w:name="_Toc24835"/>
      <w:r>
        <w:rPr>
          <w:rFonts w:hint="eastAsia"/>
          <w:lang w:val="en-US" w:eastAsia="zh-CN"/>
        </w:rPr>
        <w:t>1.5软件资质</w:t>
      </w:r>
      <w:bookmarkEnd w:id="18"/>
    </w:p>
    <w:p>
      <w:pPr>
        <w:pStyle w:val="3"/>
        <w:bidi w:val="0"/>
        <w:rPr>
          <w:rFonts w:hint="eastAsia"/>
          <w:lang w:eastAsia="zh-CN"/>
        </w:rPr>
      </w:pPr>
      <w:bookmarkStart w:id="19" w:name="_Toc11995"/>
      <w:bookmarkStart w:id="20" w:name="_Toc3652"/>
      <w:r>
        <w:rPr>
          <w:rFonts w:hint="eastAsia"/>
          <w:lang w:val="en-US" w:eastAsia="zh-CN"/>
        </w:rPr>
        <w:t>1.6本项目涉及</w:t>
      </w:r>
      <w:r>
        <w:rPr>
          <w:rFonts w:hint="eastAsia"/>
          <w:lang w:eastAsia="zh-CN"/>
        </w:rPr>
        <w:t>资质</w:t>
      </w:r>
      <w:bookmarkEnd w:id="19"/>
      <w:bookmarkEnd w:id="20"/>
    </w:p>
    <w:p>
      <w:pPr>
        <w:pStyle w:val="3"/>
        <w:bidi w:val="0"/>
        <w:rPr>
          <w:rFonts w:hint="eastAsia" w:ascii="宋体" w:hAnsi="宋体" w:eastAsia="宋体" w:cs="宋体"/>
          <w:sz w:val="24"/>
          <w:szCs w:val="24"/>
        </w:rPr>
      </w:pPr>
      <w:bookmarkStart w:id="21" w:name="_Toc21787"/>
      <w:bookmarkStart w:id="22" w:name="_Toc6788"/>
      <w:r>
        <w:rPr>
          <w:rFonts w:hint="eastAsia"/>
          <w:b/>
          <w:lang w:val="en-US" w:eastAsia="zh-CN"/>
        </w:rPr>
        <w:t>1.7开发商委托销售授权函</w:t>
      </w:r>
      <w:bookmarkEnd w:id="21"/>
      <w:bookmarkEnd w:id="22"/>
    </w:p>
    <w:p>
      <w:pPr>
        <w:pStyle w:val="14"/>
        <w:rPr>
          <w:rFonts w:hint="eastAsia" w:ascii="宋体" w:hAnsi="宋体" w:eastAsia="宋体" w:cs="宋体"/>
          <w:sz w:val="24"/>
          <w:szCs w:val="24"/>
        </w:rPr>
      </w:pPr>
    </w:p>
    <w:p>
      <w:pPr>
        <w:pStyle w:val="14"/>
        <w:rPr>
          <w:rFonts w:hint="eastAsia" w:ascii="宋体" w:hAnsi="宋体" w:eastAsia="宋体" w:cs="宋体"/>
          <w:sz w:val="24"/>
          <w:szCs w:val="24"/>
        </w:rPr>
      </w:pPr>
    </w:p>
    <w:p>
      <w:pPr>
        <w:pStyle w:val="14"/>
        <w:rPr>
          <w:rFonts w:hint="eastAsia" w:ascii="宋体" w:hAnsi="宋体" w:eastAsia="宋体" w:cs="宋体"/>
          <w:sz w:val="24"/>
          <w:szCs w:val="24"/>
        </w:rPr>
      </w:pPr>
    </w:p>
    <w:p>
      <w:pPr>
        <w:pStyle w:val="14"/>
        <w:rPr>
          <w:rFonts w:hint="eastAsia" w:ascii="宋体" w:hAnsi="宋体" w:eastAsia="宋体" w:cs="宋体"/>
          <w:sz w:val="24"/>
          <w:szCs w:val="24"/>
        </w:rPr>
      </w:pPr>
    </w:p>
    <w:p>
      <w:pPr>
        <w:pStyle w:val="14"/>
        <w:rPr>
          <w:rFonts w:hint="eastAsia" w:ascii="宋体" w:hAnsi="宋体" w:eastAsia="宋体" w:cs="宋体"/>
          <w:sz w:val="24"/>
          <w:szCs w:val="24"/>
        </w:rPr>
      </w:pPr>
    </w:p>
    <w:p>
      <w:pPr>
        <w:pStyle w:val="14"/>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3" w:name="_Toc31535"/>
      <w:r>
        <w:rPr>
          <w:rFonts w:hint="eastAsia"/>
          <w:lang w:val="en-US" w:eastAsia="zh-CN"/>
        </w:rPr>
        <w:t>三、项目调研情况一览汇总表</w:t>
      </w:r>
      <w:bookmarkEnd w:id="23"/>
    </w:p>
    <w:p>
      <w:pPr>
        <w:pStyle w:val="5"/>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采购品目分类名称：</w:t>
      </w:r>
    </w:p>
    <w:p>
      <w:pPr>
        <w:pStyle w:val="5"/>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各潜在供应商</w:t>
      </w:r>
      <w:r>
        <w:rPr>
          <w:rFonts w:hint="eastAsia" w:ascii="仿宋" w:hAnsi="仿宋" w:eastAsia="仿宋" w:cs="仿宋"/>
          <w:i w:val="0"/>
          <w:iCs w:val="0"/>
          <w:color w:val="000000"/>
          <w:kern w:val="0"/>
          <w:sz w:val="24"/>
          <w:szCs w:val="24"/>
          <w:u w:val="none"/>
          <w:lang w:val="en-US" w:eastAsia="zh-CN" w:bidi="ar"/>
        </w:rPr>
        <w:t>名称：</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联系人及联系电话：</w:t>
      </w:r>
    </w:p>
    <w:p>
      <w:pPr>
        <w:numPr>
          <w:ilvl w:val="0"/>
          <w:numId w:val="0"/>
        </w:numPr>
        <w:rPr>
          <w:rFonts w:hint="default"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（一）维保系统清单（须报出每个子系统、子模块价格），各潜在各潜在供应商可以分子系统、子模块报价，也可以整体报价。</w:t>
      </w:r>
    </w:p>
    <w:p>
      <w:pPr>
        <w:pStyle w:val="14"/>
        <w:numPr>
          <w:ilvl w:val="0"/>
          <w:numId w:val="0"/>
        </w:numPr>
        <w:rPr>
          <w:rFonts w:hint="eastAsia"/>
          <w:lang w:val="en-US" w:eastAsia="zh-CN"/>
        </w:rPr>
      </w:pPr>
    </w:p>
    <w:tbl>
      <w:tblPr>
        <w:tblStyle w:val="10"/>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1971"/>
        <w:gridCol w:w="2943"/>
        <w:gridCol w:w="4506"/>
        <w:gridCol w:w="1486"/>
        <w:gridCol w:w="3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资产编号</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主系统名称</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子系统、子模块名称</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报价（元/3年）</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XT052</w:t>
            </w:r>
          </w:p>
        </w:tc>
        <w:tc>
          <w:tcPr>
            <w:tcW w:w="667"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HIS系统</w:t>
            </w:r>
          </w:p>
        </w:tc>
        <w:tc>
          <w:tcPr>
            <w:tcW w:w="99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住院药房管理系统</w:t>
            </w:r>
          </w:p>
        </w:tc>
        <w:tc>
          <w:tcPr>
            <w:tcW w:w="1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XT053</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病案管理系统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XT054</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病人自助服务系统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XT056</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高值耗材管理系统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XT057</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门（急）诊挂号系统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XT059</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门诊中药房管理系统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XT061</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XT063</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中药库管理系统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XT064</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药品会计管理系统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XT065</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医技计价系统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XT066</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医疗统计管理系统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XT067</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医嘱计价系统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XT068</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院感管理系统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XT069</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一卡通管理系统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XT070</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住院病人入、出、转管理系统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XT071</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住院结算系统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XT072</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门诊西药房管理系统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XT073</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分诊排队叫号系统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XT074</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检验排队叫号系统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XT075</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西药库管理系统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XT076</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门（急）诊护士工作站</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XT103</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门（急）诊医生工作站</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XT104</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住院医生工作站</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XT105</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住院护士工作站</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XT106</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门（急）诊收费系统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XT107</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药库管理系统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XT125</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门（急）诊输液室管理系统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XT126</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药房排队叫号系统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XT128</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移动医生工作站</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XT131</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临床路径管理系统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XT108</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LIS系统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医学检验中心系统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XT109</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PACS系统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放射信息管理系统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XT110</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医学影像存储与通讯系统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XT111</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超声信息管理系统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XT112</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内镜信息管理系统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XT003</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第三方接口</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HIS与医保异地结算软件系统接口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包含但不仅限于以上接口，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XT006</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HIS与HRP系统接口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XT007</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HIS与居民健康卡接口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XT010</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HIS与精准扶贫接口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XT011</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HIS与新医保系统接口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XT012</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HIS与三医监管平台接口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XT014</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HIS与心理测量系统接口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XT021</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全国三级公立医院绩效考核病案首页采集接口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XT023</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HIS与流感监测上报接口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XT027</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华西“三统一”一期接口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XT028</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发热门诊医疗服务检测数据上报接口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XT029</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全国抗肿瘤药物临床应用监测接口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XT030</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核酸检测信息系统接口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XT033</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全国医疗保障一体化大数据平台接口（贯标）</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XT035</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临床用血数据质量接口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XT036</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XT038</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医保接口改造（二期）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XT083</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XT089</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HIS与重症监护系统接口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XT139</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对接电子健康卡系统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XT147</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追溯码接口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XT148</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HIS对接国家传染病前置软件接口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XT155</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依码付接口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XT156</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影像医保价格调整接口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XT157</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传染病数据交换平台接口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XT158</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西药包药机接口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XT159</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中药包药机接口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XT160</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工伤联网结算平台接口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XT161</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医保处方流转接口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XT162</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重症医学远程管理平台与业务系统接口对接</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XT118</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数智大脑平台接口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XT095</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防统方系统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深圳昂楷科技有限公司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XT032</w:t>
            </w:r>
          </w:p>
        </w:tc>
        <w:tc>
          <w:tcPr>
            <w:tcW w:w="66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官方网站</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网站租赁服务</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四川锐狐网络科技有限公司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包含三级网络安全等级保护配套安全软硬件服务等网站整体租赁服务。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网站域名、SSL证书服务</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上海锐成信息科技有限公司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网站IPV6流量服务</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四川锐狐网络科技有限公司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XT096</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合理用药系统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北京普华和诚科技有限公司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XT113</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手术麻醉管理系统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含配套硬件维保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XT114</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输血管理系统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XT115</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微信公众号</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XT086</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消毒供应追溯系统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四川腾势科技有限公司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XT130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移动护理系统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XT116</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移动护士工作站</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XT117</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疫情监测报告及医院感染管理系统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XT135</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云胶片</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XT136</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支付宝小程序</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XT092</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智能采血系统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珠海丰炎科技有限公司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含配套硬件维保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XT137</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智能分诊叫号系统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检查（超声、放射、心电、内镜）排队叫号系统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XT090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重症监护系统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四川智康科技有限责任公司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含配套硬件维保</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numPr>
          <w:ilvl w:val="0"/>
          <w:numId w:val="0"/>
        </w:numPr>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(二）</w:t>
      </w:r>
      <w:r>
        <w:rPr>
          <w:rFonts w:hint="eastAsia" w:ascii="宋体" w:hAnsi="宋体" w:eastAsia="宋体" w:cs="宋体"/>
          <w:b/>
          <w:bCs/>
          <w:color w:val="000000" w:themeColor="text1"/>
          <w:szCs w:val="21"/>
          <w14:textFill>
            <w14:solidFill>
              <w14:schemeClr w14:val="tx1"/>
            </w14:solidFill>
          </w14:textFill>
        </w:rPr>
        <w:t>总体要求：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eastAsia="zh-CN"/>
        </w:rPr>
      </w:pPr>
      <w:r>
        <w:rPr>
          <w:rFonts w:hint="eastAsia"/>
          <w:color w:val="auto"/>
          <w:lang w:val="en-US" w:eastAsia="zh-CN"/>
        </w:rPr>
        <w:t>（1）</w:t>
      </w:r>
      <w:r>
        <w:rPr>
          <w:rFonts w:hint="eastAsia"/>
          <w:color w:val="auto"/>
          <w:lang w:eastAsia="zh-CN"/>
        </w:rPr>
        <w:t>各潜在供应商须</w:t>
      </w:r>
      <w:r>
        <w:rPr>
          <w:rFonts w:hint="eastAsia"/>
          <w:color w:val="auto"/>
          <w:lang w:val="en-US" w:eastAsia="zh-CN"/>
        </w:rPr>
        <w:t>长期</w:t>
      </w:r>
      <w:r>
        <w:rPr>
          <w:rFonts w:hint="eastAsia"/>
          <w:color w:val="auto"/>
          <w:lang w:eastAsia="zh-CN"/>
        </w:rPr>
        <w:t>无条件配合协助医院全部通过国家卫健委电子病历系统应用水平分级评价5级（如后期正式公布更新标准替代本标准的，应按照最新标准对应相关等级达标，如：智慧医疗分级评价五级、国家卫健委国家医疗健康信息互联互通成熟度四级甲等测评、四川省卫健委智慧医院</w:t>
      </w:r>
      <w:r>
        <w:rPr>
          <w:rFonts w:hint="eastAsia"/>
          <w:color w:val="auto"/>
          <w:lang w:val="en-US" w:eastAsia="zh-CN"/>
        </w:rPr>
        <w:t>五</w:t>
      </w:r>
      <w:r>
        <w:rPr>
          <w:rFonts w:hint="eastAsia"/>
          <w:color w:val="auto"/>
          <w:lang w:eastAsia="zh-CN"/>
        </w:rPr>
        <w:t>星级评审要求（以最新政策文件为准）、</w:t>
      </w:r>
      <w:r>
        <w:rPr>
          <w:rFonts w:hint="eastAsia"/>
          <w:color w:val="auto"/>
          <w:lang w:val="en-US" w:eastAsia="zh-CN"/>
        </w:rPr>
        <w:t>公立医院绩效考核、三级医院等级评审</w:t>
      </w:r>
      <w:r>
        <w:rPr>
          <w:rFonts w:hint="eastAsia"/>
          <w:color w:val="auto"/>
          <w:lang w:eastAsia="zh-CN"/>
        </w:rPr>
        <w:t>中涉及本项目系统的相关联条款，以保证符合相关评审的要求（投标时</w:t>
      </w:r>
      <w:r>
        <w:rPr>
          <w:rFonts w:hint="eastAsia"/>
          <w:color w:val="auto"/>
          <w:lang w:val="en-US" w:eastAsia="zh-CN"/>
        </w:rPr>
        <w:t>需提供长期服务承诺函</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eastAsia="zh-CN"/>
        </w:rPr>
      </w:pPr>
      <w:r>
        <w:rPr>
          <w:rFonts w:hint="eastAsia"/>
          <w:color w:val="auto"/>
          <w:lang w:val="en-US" w:eastAsia="zh-CN"/>
        </w:rPr>
        <w:t>（2）</w:t>
      </w:r>
      <w:r>
        <w:rPr>
          <w:rFonts w:hint="eastAsia"/>
          <w:color w:val="auto"/>
          <w:lang w:eastAsia="zh-CN"/>
        </w:rPr>
        <w:t>因政策、业务等需对本项目进行服务及数据迁移，医院业务需求灾备部署至其他云、本地、异地，各潜在供应商须无条件实施，且业务中断时间≤24小时，不得收取任何迁移、改造、配合、应急响应等费用，相关费用包含在投标总价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eastAsia="zh-CN"/>
        </w:rPr>
      </w:pPr>
      <w:r>
        <w:rPr>
          <w:rFonts w:hint="eastAsia"/>
          <w:color w:val="auto"/>
          <w:lang w:val="en-US" w:eastAsia="zh-CN"/>
        </w:rPr>
        <w:t>（3）</w:t>
      </w:r>
      <w:r>
        <w:rPr>
          <w:rFonts w:hint="eastAsia"/>
          <w:color w:val="auto"/>
          <w:lang w:eastAsia="zh-CN"/>
        </w:rPr>
        <w:t>本次项目系统之间对接通过集成平台进行交互，推送和接收通信标准以医院要求为准;如医院后续新建系统需与本项目系统接口交互的，各潜在供应商协助配合完成相关改造且不收取接口费用。当存在多种（2种或以上）接口方式时，各潜在供应商可提出建议接口方案，最终对接方式由医院确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eastAsia="zh-CN"/>
        </w:rPr>
      </w:pPr>
      <w:r>
        <w:rPr>
          <w:rFonts w:hint="eastAsia"/>
          <w:color w:val="auto"/>
          <w:lang w:val="en-US" w:eastAsia="zh-CN"/>
        </w:rPr>
        <w:t>（4）</w:t>
      </w:r>
      <w:r>
        <w:rPr>
          <w:rFonts w:hint="eastAsia"/>
          <w:color w:val="auto"/>
          <w:lang w:eastAsia="zh-CN"/>
        </w:rPr>
        <w:t>若出现院内其他相关联系统更换或者升级和本</w:t>
      </w:r>
      <w:r>
        <w:rPr>
          <w:rFonts w:hint="eastAsia"/>
          <w:color w:val="auto"/>
          <w:lang w:val="en-US" w:eastAsia="zh-CN"/>
        </w:rPr>
        <w:t>维保</w:t>
      </w:r>
      <w:r>
        <w:rPr>
          <w:rFonts w:hint="eastAsia"/>
          <w:color w:val="auto"/>
          <w:lang w:eastAsia="zh-CN"/>
        </w:rPr>
        <w:t>系统需进行政策性接口对接的情况，各潜在供应商必须无条件开放、开发接口，配合对接，并且保证系统的稳定运行，不得收取医院或者第三方任何接口费用，费用包含在投标总价中。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eastAsia="zh-CN"/>
        </w:rPr>
      </w:pPr>
      <w:r>
        <w:rPr>
          <w:rFonts w:hint="eastAsia"/>
          <w:color w:val="auto"/>
          <w:lang w:val="en-US" w:eastAsia="zh-CN"/>
        </w:rPr>
        <w:t>（5）</w:t>
      </w:r>
      <w:r>
        <w:rPr>
          <w:rFonts w:hint="eastAsia"/>
          <w:color w:val="auto"/>
          <w:lang w:eastAsia="zh-CN"/>
        </w:rPr>
        <w:t>各潜在供应商提供与第三方系统对接，政策性接口对接，检验、检查、治疗等设备接入的接口开发，领办单位、医联体、医共体或医院需求的医疗机构数据对接以及上级行政主管部门要求的系统对接不再向医院单独收取接口费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eastAsia="zh-CN"/>
        </w:rPr>
      </w:pPr>
      <w:r>
        <w:rPr>
          <w:rFonts w:hint="eastAsia"/>
          <w:color w:val="auto"/>
          <w:lang w:val="en-US" w:eastAsia="zh-CN"/>
        </w:rPr>
        <w:t>（6）</w:t>
      </w:r>
      <w:r>
        <w:rPr>
          <w:rFonts w:hint="eastAsia"/>
          <w:color w:val="auto"/>
          <w:lang w:eastAsia="zh-CN"/>
        </w:rPr>
        <w:t>各潜在供应商必须无条件配合本项目系统与医院大数据中心（全量取数，按需要提供实时或异步数据）进行对接，开放、开发相关接口，配合对接及调试，并且保证系统的稳定运行，不得收取医院或者第三方任何接口费用，费用包含在投标总价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eastAsia="zh-CN"/>
        </w:rPr>
      </w:pPr>
      <w:r>
        <w:rPr>
          <w:rFonts w:hint="eastAsia"/>
          <w:color w:val="auto"/>
          <w:lang w:eastAsia="zh-CN"/>
        </w:rPr>
        <w:t>（</w:t>
      </w:r>
      <w:r>
        <w:rPr>
          <w:rFonts w:hint="eastAsia"/>
          <w:color w:val="auto"/>
          <w:lang w:val="en-US" w:eastAsia="zh-CN"/>
        </w:rPr>
        <w:t>7）</w:t>
      </w:r>
      <w:r>
        <w:rPr>
          <w:rFonts w:hint="eastAsia"/>
          <w:color w:val="auto"/>
          <w:lang w:eastAsia="zh-CN"/>
        </w:rPr>
        <w:t>因评级达标工作需要和国家、省、市等政策性接口文件要求及医院的新增需求，如涉及到</w:t>
      </w:r>
      <w:r>
        <w:rPr>
          <w:rFonts w:hint="eastAsia"/>
          <w:color w:val="auto"/>
          <w:lang w:val="en-US" w:eastAsia="zh-CN"/>
        </w:rPr>
        <w:t>维保系统</w:t>
      </w:r>
      <w:r>
        <w:rPr>
          <w:rFonts w:hint="eastAsia"/>
          <w:color w:val="auto"/>
          <w:lang w:eastAsia="zh-CN"/>
        </w:rPr>
        <w:t>接口对接和业务改造，所需费用均包含在本次投标总价中。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eastAsia="zh-CN"/>
        </w:rPr>
      </w:pPr>
      <w:bookmarkStart w:id="24" w:name="OLE_LINK8"/>
      <w:r>
        <w:rPr>
          <w:rFonts w:hint="eastAsia"/>
          <w:color w:val="auto"/>
          <w:lang w:val="en-US" w:eastAsia="zh-CN"/>
        </w:rPr>
        <w:t>（8）</w:t>
      </w:r>
      <w:r>
        <w:rPr>
          <w:rFonts w:hint="eastAsia"/>
          <w:color w:val="auto"/>
          <w:lang w:eastAsia="zh-CN"/>
        </w:rPr>
        <w:t>按照国家、省、市网络安全标准和政策要求进行安全建设，须支持密评防护,并做好该项目涉及的密码应用对接及密评相关工作，须满足医院自行或聘请的第三方网络安全等级保护测评第三级和商用密码应用安全性评估，对测评中出现的软硬件安全漏洞须及时修复、改造。此外，对上级相关部门单位及医院检查发现并提出须整改的安全漏洞，应在规定期间内完成整改，并提供第三方测评公司出具的测评报告(包括功能、性能、安全等测评)。费用包含在投标总价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eastAsia="zh-CN"/>
        </w:rPr>
      </w:pPr>
      <w:r>
        <w:rPr>
          <w:rFonts w:hint="eastAsia"/>
          <w:color w:val="auto"/>
          <w:lang w:val="en-US" w:eastAsia="zh-CN"/>
        </w:rPr>
        <w:t>（9）按</w:t>
      </w:r>
      <w:r>
        <w:rPr>
          <w:rFonts w:hint="eastAsia"/>
          <w:color w:val="auto"/>
          <w:lang w:eastAsia="zh-CN"/>
        </w:rPr>
        <w:t>国家、省、市等对信息系统安全性的要求，</w:t>
      </w:r>
      <w:r>
        <w:rPr>
          <w:rFonts w:hint="eastAsia"/>
          <w:color w:val="auto"/>
          <w:lang w:val="en-US" w:eastAsia="zh-CN"/>
        </w:rPr>
        <w:t>维保</w:t>
      </w:r>
      <w:r>
        <w:rPr>
          <w:rFonts w:hint="eastAsia"/>
          <w:color w:val="auto"/>
          <w:lang w:eastAsia="zh-CN"/>
        </w:rPr>
        <w:t>系统出现安全漏洞需无条件整改，</w:t>
      </w:r>
      <w:r>
        <w:rPr>
          <w:rFonts w:hint="eastAsia"/>
          <w:color w:val="auto"/>
          <w:lang w:val="en-US" w:eastAsia="zh-CN"/>
        </w:rPr>
        <w:t>同时，</w:t>
      </w:r>
      <w:r>
        <w:rPr>
          <w:rFonts w:hint="eastAsia"/>
          <w:color w:val="auto"/>
          <w:lang w:eastAsia="zh-CN"/>
        </w:rPr>
        <w:t>在各类安全检测活动中发现的安全隐患需无条件整改，产生的任何费用由各潜在供应商承担。</w:t>
      </w:r>
    </w:p>
    <w:bookmarkEnd w:id="24"/>
    <w:p>
      <w:pPr>
        <w:spacing w:line="276" w:lineRule="auto"/>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三）</w:t>
      </w:r>
      <w:r>
        <w:rPr>
          <w:rFonts w:hint="eastAsia" w:ascii="宋体" w:hAnsi="宋体" w:eastAsia="宋体" w:cs="宋体"/>
          <w:b/>
          <w:bCs/>
          <w:color w:val="000000" w:themeColor="text1"/>
          <w:szCs w:val="21"/>
          <w14:textFill>
            <w14:solidFill>
              <w14:schemeClr w14:val="tx1"/>
            </w14:solidFill>
          </w14:textFill>
        </w:rPr>
        <w:t>商务及其他要求</w:t>
      </w:r>
    </w:p>
    <w:tbl>
      <w:tblPr>
        <w:tblStyle w:val="11"/>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534"/>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3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内容</w:t>
            </w:r>
          </w:p>
        </w:tc>
        <w:tc>
          <w:tcPr>
            <w:tcW w:w="723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3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服务期限</w:t>
            </w:r>
          </w:p>
        </w:tc>
        <w:tc>
          <w:tcPr>
            <w:tcW w:w="7230" w:type="dxa"/>
            <w:vAlign w:val="center"/>
          </w:tcPr>
          <w:p>
            <w:p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3年，合同签订后5个工作日确定驻场人员，双方签署《入场确认单》之日起开始计算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3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交货地点</w:t>
            </w:r>
          </w:p>
        </w:tc>
        <w:tc>
          <w:tcPr>
            <w:tcW w:w="7230" w:type="dxa"/>
            <w:vAlign w:val="center"/>
          </w:tcPr>
          <w:p>
            <w:p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资阳市中心</w:t>
            </w:r>
            <w:r>
              <w:rPr>
                <w:rFonts w:hint="eastAsia" w:ascii="宋体" w:hAnsi="宋体" w:eastAsia="宋体" w:cs="宋体"/>
                <w:color w:val="auto"/>
                <w:szCs w:val="21"/>
                <w:highlight w:val="none"/>
                <w:lang w:val="en-US" w:eastAsia="zh-CN"/>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3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报价要求</w:t>
            </w:r>
          </w:p>
        </w:tc>
        <w:tc>
          <w:tcPr>
            <w:tcW w:w="7230" w:type="dxa"/>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报价应包含软件维保、硬件维修更换、驻场人员薪酬、培训、差旅费、税费等所有费用，</w:t>
            </w:r>
            <w:r>
              <w:rPr>
                <w:rFonts w:hint="eastAsia" w:ascii="宋体" w:hAnsi="宋体" w:eastAsia="宋体" w:cs="宋体"/>
                <w:color w:val="auto"/>
                <w:szCs w:val="21"/>
                <w:highlight w:val="none"/>
                <w:lang w:eastAsia="zh-CN"/>
              </w:rPr>
              <w:t>医院</w:t>
            </w:r>
            <w:r>
              <w:rPr>
                <w:rFonts w:hint="eastAsia" w:ascii="宋体" w:hAnsi="宋体" w:eastAsia="宋体" w:cs="宋体"/>
                <w:color w:val="auto"/>
                <w:szCs w:val="21"/>
                <w:highlight w:val="none"/>
              </w:rPr>
              <w:t>无须另支付其他任何费用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3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履约、验收要求与标准</w:t>
            </w:r>
          </w:p>
        </w:tc>
        <w:tc>
          <w:tcPr>
            <w:tcW w:w="7230" w:type="dxa"/>
            <w:vAlign w:val="center"/>
          </w:tcPr>
          <w:p>
            <w:pPr>
              <w:pStyle w:val="4"/>
              <w:ind w:firstLine="0"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default" w:ascii="宋体" w:hAnsi="宋体" w:eastAsia="宋体" w:cs="宋体"/>
                <w:color w:val="auto"/>
                <w:szCs w:val="21"/>
                <w:highlight w:val="none"/>
                <w:lang w:val="en-US" w:eastAsia="zh-CN"/>
              </w:rPr>
              <w:t>按国家有关规定以及采购文件的质量要求和技术指标、采购文件及承诺与合同验约定标准进行验收；</w:t>
            </w:r>
            <w:r>
              <w:rPr>
                <w:rFonts w:hint="eastAsia" w:ascii="宋体" w:hAnsi="宋体" w:eastAsia="宋体" w:cs="宋体"/>
                <w:color w:val="auto"/>
                <w:szCs w:val="21"/>
                <w:highlight w:val="none"/>
                <w:lang w:val="en-US" w:eastAsia="zh-CN"/>
              </w:rPr>
              <w:t>医院</w:t>
            </w:r>
            <w:r>
              <w:rPr>
                <w:rFonts w:hint="default" w:ascii="宋体" w:hAnsi="宋体" w:eastAsia="宋体" w:cs="宋体"/>
                <w:color w:val="auto"/>
                <w:szCs w:val="21"/>
                <w:highlight w:val="none"/>
                <w:lang w:val="en-US" w:eastAsia="zh-CN"/>
              </w:rPr>
              <w:t>及</w:t>
            </w:r>
            <w:r>
              <w:rPr>
                <w:rFonts w:hint="eastAsia" w:ascii="宋体" w:hAnsi="宋体" w:eastAsia="宋体" w:cs="宋体"/>
                <w:color w:val="auto"/>
                <w:szCs w:val="21"/>
                <w:highlight w:val="none"/>
                <w:lang w:val="en-US" w:eastAsia="zh-CN"/>
              </w:rPr>
              <w:t>各潜在供应商</w:t>
            </w:r>
            <w:r>
              <w:rPr>
                <w:rFonts w:hint="default" w:ascii="宋体" w:hAnsi="宋体" w:eastAsia="宋体" w:cs="宋体"/>
                <w:color w:val="auto"/>
                <w:szCs w:val="21"/>
                <w:highlight w:val="none"/>
                <w:lang w:val="en-US" w:eastAsia="zh-CN"/>
              </w:rPr>
              <w:t>双方如对质量要求和技术指标的约定标准有相互抵触或异议的事项，由</w:t>
            </w:r>
            <w:r>
              <w:rPr>
                <w:rFonts w:hint="eastAsia" w:ascii="宋体" w:hAnsi="宋体" w:eastAsia="宋体" w:cs="宋体"/>
                <w:color w:val="auto"/>
                <w:szCs w:val="21"/>
                <w:highlight w:val="none"/>
                <w:lang w:val="en-US" w:eastAsia="zh-CN"/>
              </w:rPr>
              <w:t>医院</w:t>
            </w:r>
            <w:r>
              <w:rPr>
                <w:rFonts w:hint="default" w:ascii="宋体" w:hAnsi="宋体" w:eastAsia="宋体" w:cs="宋体"/>
                <w:color w:val="auto"/>
                <w:szCs w:val="21"/>
                <w:highlight w:val="none"/>
                <w:lang w:val="en-US" w:eastAsia="zh-CN"/>
              </w:rPr>
              <w:t>在采购文件、响应文件中按质量要求和技术指标比较优胜的原则确定该项的约定标准进行验收；</w:t>
            </w:r>
            <w:r>
              <w:rPr>
                <w:rFonts w:hint="eastAsia" w:ascii="宋体" w:hAnsi="宋体" w:eastAsia="宋体" w:cs="宋体"/>
                <w:color w:val="auto"/>
                <w:szCs w:val="21"/>
                <w:highlight w:val="none"/>
                <w:lang w:val="en-US" w:eastAsia="zh-CN"/>
              </w:rPr>
              <w:t>（2）</w:t>
            </w:r>
            <w:r>
              <w:rPr>
                <w:rFonts w:hint="default" w:ascii="宋体" w:hAnsi="宋体" w:eastAsia="宋体" w:cs="宋体"/>
                <w:color w:val="auto"/>
                <w:szCs w:val="21"/>
                <w:highlight w:val="none"/>
                <w:lang w:val="en-US" w:eastAsia="zh-CN"/>
              </w:rPr>
              <w:t>符合国家（或行业）相关标准并通过</w:t>
            </w:r>
            <w:r>
              <w:rPr>
                <w:rFonts w:hint="eastAsia" w:ascii="宋体" w:hAnsi="宋体" w:eastAsia="宋体" w:cs="宋体"/>
                <w:color w:val="auto"/>
                <w:szCs w:val="21"/>
                <w:highlight w:val="none"/>
                <w:lang w:val="en-US" w:eastAsia="zh-CN"/>
              </w:rPr>
              <w:t>医院</w:t>
            </w:r>
            <w:r>
              <w:rPr>
                <w:rFonts w:hint="default" w:ascii="宋体" w:hAnsi="宋体" w:eastAsia="宋体" w:cs="宋体"/>
                <w:color w:val="auto"/>
                <w:szCs w:val="21"/>
                <w:highlight w:val="none"/>
                <w:lang w:val="en-US" w:eastAsia="zh-CN"/>
              </w:rPr>
              <w:t>组织的验收考核，并严格按照《财政部关于进一步加强政府采购需求和履约验收管理的指导意见》（财库〔2016〕205号）、《政府采购需求管理办法》（财库〔2021〕22号）等政府采购相关法律法规的要求组织验收。3、如质量验收合格，双方签署质量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tcBorders>
              <w:left w:val="single" w:color="auto" w:sz="4" w:space="0"/>
              <w:bottom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34" w:type="dxa"/>
            <w:tcBorders>
              <w:bottom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款项支付方式、进度</w:t>
            </w:r>
          </w:p>
        </w:tc>
        <w:tc>
          <w:tcPr>
            <w:tcW w:w="7230" w:type="dxa"/>
            <w:tcBorders>
              <w:bottom w:val="single" w:color="auto" w:sz="4" w:space="0"/>
              <w:right w:val="single" w:color="auto" w:sz="4" w:space="0"/>
            </w:tcBorders>
            <w:vAlign w:val="center"/>
          </w:tcPr>
          <w:p>
            <w:pPr>
              <w:pStyle w:val="4"/>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服务期第一年结束后且完成《项目维护运行报告》、《</w:t>
            </w:r>
            <w:r>
              <w:rPr>
                <w:color w:val="auto"/>
                <w:highlight w:val="none"/>
              </w:rPr>
              <w:t>服务评价考核表</w:t>
            </w:r>
            <w:r>
              <w:rPr>
                <w:rFonts w:hint="eastAsia"/>
                <w:color w:val="auto"/>
                <w:highlight w:val="none"/>
                <w:lang w:eastAsia="zh-CN"/>
              </w:rPr>
              <w:t>》，</w:t>
            </w:r>
            <w:r>
              <w:rPr>
                <w:rFonts w:hint="eastAsia"/>
                <w:color w:val="auto"/>
                <w:highlight w:val="none"/>
                <w:lang w:val="en-US" w:eastAsia="zh-CN"/>
              </w:rPr>
              <w:t>医院</w:t>
            </w:r>
            <w:r>
              <w:rPr>
                <w:rFonts w:hint="eastAsia" w:ascii="宋体" w:hAnsi="宋体" w:eastAsia="宋体" w:cs="宋体"/>
                <w:color w:val="auto"/>
                <w:szCs w:val="21"/>
                <w:highlight w:val="none"/>
                <w:lang w:eastAsia="zh-CN"/>
              </w:rPr>
              <w:t>收到各潜在供应商出具的合法有效完整的完税发票及凭证资料，达到付款条件30日内，</w:t>
            </w:r>
            <w:r>
              <w:rPr>
                <w:rFonts w:hint="eastAsia" w:ascii="宋体" w:hAnsi="宋体" w:eastAsia="宋体" w:cs="宋体"/>
                <w:color w:val="auto"/>
                <w:szCs w:val="21"/>
                <w:highlight w:val="none"/>
                <w:lang w:val="en-US" w:eastAsia="zh-CN"/>
              </w:rPr>
              <w:t>按实际维保系统服务时间支付第二年度服务费</w:t>
            </w:r>
            <w:r>
              <w:rPr>
                <w:rFonts w:hint="eastAsia" w:ascii="宋体" w:hAnsi="宋体" w:eastAsia="宋体" w:cs="宋体"/>
                <w:color w:val="auto"/>
                <w:szCs w:val="21"/>
                <w:highlight w:val="none"/>
                <w:lang w:eastAsia="zh-CN"/>
              </w:rPr>
              <w:t>。</w:t>
            </w:r>
          </w:p>
          <w:p>
            <w:pPr>
              <w:pStyle w:val="4"/>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lang w:val="en-US" w:eastAsia="zh-CN"/>
              </w:rPr>
              <w:t>服务期第二年结束后且完成《项目维护运行报告》、《</w:t>
            </w:r>
            <w:r>
              <w:rPr>
                <w:color w:val="auto"/>
                <w:highlight w:val="none"/>
              </w:rPr>
              <w:t>服务评价考核表</w:t>
            </w:r>
            <w:r>
              <w:rPr>
                <w:rFonts w:hint="eastAsia"/>
                <w:color w:val="auto"/>
                <w:highlight w:val="none"/>
                <w:lang w:eastAsia="zh-CN"/>
              </w:rPr>
              <w:t>》，</w:t>
            </w:r>
            <w:r>
              <w:rPr>
                <w:rFonts w:hint="eastAsia"/>
                <w:color w:val="auto"/>
                <w:highlight w:val="none"/>
                <w:lang w:val="en-US" w:eastAsia="zh-CN"/>
              </w:rPr>
              <w:t>医院</w:t>
            </w:r>
            <w:r>
              <w:rPr>
                <w:rFonts w:hint="eastAsia" w:ascii="宋体" w:hAnsi="宋体" w:eastAsia="宋体" w:cs="宋体"/>
                <w:color w:val="auto"/>
                <w:szCs w:val="21"/>
                <w:highlight w:val="none"/>
                <w:lang w:eastAsia="zh-CN"/>
              </w:rPr>
              <w:t>收到各潜在供应商出具的合法有效完整的完税发票及凭证资料，达到付款条件30日内，</w:t>
            </w:r>
            <w:r>
              <w:rPr>
                <w:rFonts w:hint="eastAsia" w:ascii="宋体" w:hAnsi="宋体" w:eastAsia="宋体" w:cs="宋体"/>
                <w:color w:val="auto"/>
                <w:szCs w:val="21"/>
                <w:highlight w:val="none"/>
                <w:lang w:val="en-US" w:eastAsia="zh-CN"/>
              </w:rPr>
              <w:t>按实际维保系统服务时间支付第二年度服务费</w:t>
            </w:r>
            <w:r>
              <w:rPr>
                <w:rFonts w:hint="eastAsia" w:ascii="宋体" w:hAnsi="宋体" w:eastAsia="宋体" w:cs="宋体"/>
                <w:color w:val="auto"/>
                <w:szCs w:val="21"/>
                <w:highlight w:val="none"/>
                <w:lang w:eastAsia="zh-CN"/>
              </w:rPr>
              <w:t>。</w:t>
            </w:r>
          </w:p>
          <w:p>
            <w:pPr>
              <w:pStyle w:val="4"/>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服务期第三年结束后且完成《项目维护运行报告》、《</w:t>
            </w:r>
            <w:r>
              <w:rPr>
                <w:color w:val="auto"/>
                <w:highlight w:val="none"/>
              </w:rPr>
              <w:t>服务评价考核表</w:t>
            </w:r>
            <w:r>
              <w:rPr>
                <w:rFonts w:hint="eastAsia"/>
                <w:color w:val="auto"/>
                <w:highlight w:val="none"/>
                <w:lang w:eastAsia="zh-CN"/>
              </w:rPr>
              <w:t>》，</w:t>
            </w:r>
            <w:r>
              <w:rPr>
                <w:rFonts w:hint="eastAsia"/>
                <w:color w:val="auto"/>
                <w:highlight w:val="none"/>
                <w:lang w:val="en-US" w:eastAsia="zh-CN"/>
              </w:rPr>
              <w:t>医院</w:t>
            </w:r>
            <w:r>
              <w:rPr>
                <w:rFonts w:hint="eastAsia" w:ascii="宋体" w:hAnsi="宋体" w:eastAsia="宋体" w:cs="宋体"/>
                <w:color w:val="auto"/>
                <w:szCs w:val="21"/>
                <w:highlight w:val="none"/>
                <w:lang w:eastAsia="zh-CN"/>
              </w:rPr>
              <w:t>收到各潜在供应商出具的合法有效完整的完税发票及凭证资料，达到付款条件30日内，</w:t>
            </w:r>
            <w:r>
              <w:rPr>
                <w:rFonts w:hint="eastAsia" w:ascii="宋体" w:hAnsi="宋体" w:eastAsia="宋体" w:cs="宋体"/>
                <w:color w:val="auto"/>
                <w:szCs w:val="21"/>
                <w:highlight w:val="none"/>
                <w:lang w:val="en-US" w:eastAsia="zh-CN"/>
              </w:rPr>
              <w:t>按实际维保系统服务赶时间支付第三年度服务费</w:t>
            </w:r>
            <w:r>
              <w:rPr>
                <w:rFonts w:hint="eastAsia" w:ascii="宋体" w:hAnsi="宋体" w:eastAsia="宋体" w:cs="宋体"/>
                <w:color w:val="auto"/>
                <w:szCs w:val="21"/>
                <w:highlight w:val="none"/>
                <w:lang w:eastAsia="zh-CN"/>
              </w:rPr>
              <w:t>。</w:t>
            </w:r>
          </w:p>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（4）《项目维护运行报告》应包含每月系统运行状况、故障处理情况、维护工作内容等；《服务评价考核表》由医院根据各潜在供应商服务质量进行评分。</w:t>
            </w:r>
          </w:p>
          <w:p>
            <w:pPr>
              <w:rPr>
                <w:rFonts w:hint="default"/>
                <w:color w:val="auto"/>
                <w:highlight w:val="none"/>
                <w:lang w:val="en-US" w:eastAsia="zh-CN"/>
              </w:rPr>
            </w:pPr>
            <w:r>
              <w:rPr>
                <w:rFonts w:hint="eastAsia" w:ascii="宋体" w:hAnsi="宋体" w:eastAsia="宋体" w:cs="宋体"/>
                <w:color w:val="auto"/>
                <w:kern w:val="2"/>
                <w:sz w:val="21"/>
                <w:szCs w:val="21"/>
                <w:highlight w:val="none"/>
                <w:lang w:val="en-US" w:eastAsia="zh-CN" w:bidi="ar-SA"/>
              </w:rPr>
              <w:t>（5）支付约定补充说明：实际付款金额以实际核算的服务总时间（即合同总金额/36个月*实际服务月数）的维保服务费金额为准。服务总时间核算方式：因部分维护维保服务现已有单独的在有效期内的合同，该部分维护维保服务须在对应合同到期后，才开始本项目的维护维保服务。按单项服务价格的月均价格足月核算支付，不足1月不予支付，但应保证该期间服务的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43"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auto"/>
                <w:szCs w:val="21"/>
                <w:highlight w:val="none"/>
              </w:rPr>
            </w:pPr>
          </w:p>
        </w:tc>
        <w:tc>
          <w:tcPr>
            <w:tcW w:w="1534" w:type="dxa"/>
            <w:tcBorders>
              <w:top w:val="single" w:color="auto" w:sz="4" w:space="0"/>
              <w:bottom w:val="single" w:color="auto" w:sz="4" w:space="0"/>
            </w:tcBorders>
            <w:vAlign w:val="center"/>
          </w:tcPr>
          <w:p>
            <w:pPr>
              <w:jc w:val="center"/>
              <w:rPr>
                <w:rFonts w:hint="eastAsia" w:ascii="宋体" w:hAnsi="宋体" w:eastAsia="宋体" w:cs="宋体"/>
                <w:color w:val="auto"/>
                <w:szCs w:val="21"/>
                <w:highlight w:val="none"/>
                <w:lang w:val="en-US" w:eastAsia="zh-CN"/>
              </w:rPr>
            </w:pPr>
          </w:p>
        </w:tc>
        <w:tc>
          <w:tcPr>
            <w:tcW w:w="7230" w:type="dxa"/>
            <w:tcBorders>
              <w:top w:val="single" w:color="auto" w:sz="4" w:space="0"/>
              <w:bottom w:val="single" w:color="auto" w:sz="4" w:space="0"/>
              <w:right w:val="single" w:color="auto" w:sz="4" w:space="0"/>
            </w:tcBorders>
            <w:vAlign w:val="center"/>
          </w:tcPr>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（一）服务方式</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1.电话指导、远程维护、现场服务。</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2.现场服务：派遣</w:t>
            </w:r>
            <w:r>
              <w:rPr>
                <w:rFonts w:hint="eastAsia" w:asciiTheme="majorEastAsia" w:hAnsiTheme="majorEastAsia" w:eastAsiaTheme="majorEastAsia" w:cstheme="majorEastAsia"/>
                <w:color w:val="auto"/>
                <w:kern w:val="0"/>
                <w:sz w:val="21"/>
                <w:szCs w:val="21"/>
                <w:highlight w:val="none"/>
                <w:lang w:val="en-US" w:eastAsia="zh-CN" w:bidi="ar-SA"/>
              </w:rPr>
              <w:t>1</w:t>
            </w:r>
            <w:r>
              <w:rPr>
                <w:rFonts w:hint="default" w:asciiTheme="majorEastAsia" w:hAnsiTheme="majorEastAsia" w:eastAsiaTheme="majorEastAsia" w:cstheme="majorEastAsia"/>
                <w:color w:val="auto"/>
                <w:kern w:val="0"/>
                <w:sz w:val="21"/>
                <w:szCs w:val="21"/>
                <w:highlight w:val="none"/>
                <w:lang w:val="en-US" w:eastAsia="zh-CN" w:bidi="ar-SA"/>
              </w:rPr>
              <w:t>名有</w:t>
            </w:r>
            <w:r>
              <w:rPr>
                <w:rFonts w:hint="eastAsia" w:asciiTheme="majorEastAsia" w:hAnsiTheme="majorEastAsia" w:eastAsiaTheme="majorEastAsia" w:cstheme="majorEastAsia"/>
                <w:color w:val="auto"/>
                <w:kern w:val="0"/>
                <w:sz w:val="21"/>
                <w:szCs w:val="21"/>
                <w:highlight w:val="none"/>
                <w:lang w:val="en-US" w:eastAsia="zh-CN" w:bidi="ar-SA"/>
              </w:rPr>
              <w:t>3</w:t>
            </w:r>
            <w:r>
              <w:rPr>
                <w:rFonts w:hint="default" w:asciiTheme="majorEastAsia" w:hAnsiTheme="majorEastAsia" w:eastAsiaTheme="majorEastAsia" w:cstheme="majorEastAsia"/>
                <w:color w:val="auto"/>
                <w:kern w:val="0"/>
                <w:sz w:val="21"/>
                <w:szCs w:val="21"/>
                <w:highlight w:val="none"/>
                <w:lang w:val="en-US" w:eastAsia="zh-CN" w:bidi="ar-SA"/>
              </w:rPr>
              <w:t>年及以上实施经验的驻场人员作为本项目的服务人员（具备cache数据库操作能力）在现场进行办公，驻场人员实行坐班制度（</w:t>
            </w:r>
            <w:r>
              <w:rPr>
                <w:color w:val="auto"/>
                <w:highlight w:val="none"/>
              </w:rPr>
              <w:t>与</w:t>
            </w:r>
            <w:r>
              <w:rPr>
                <w:rFonts w:hint="eastAsia"/>
                <w:color w:val="auto"/>
                <w:highlight w:val="none"/>
                <w:lang w:eastAsia="zh-CN"/>
              </w:rPr>
              <w:t>医院</w:t>
            </w:r>
            <w:r>
              <w:rPr>
                <w:color w:val="auto"/>
                <w:highlight w:val="none"/>
              </w:rPr>
              <w:t>工作时间保持一致</w:t>
            </w:r>
            <w:r>
              <w:rPr>
                <w:rFonts w:hint="default" w:asciiTheme="majorEastAsia" w:hAnsiTheme="majorEastAsia" w:eastAsiaTheme="majorEastAsia" w:cstheme="majorEastAsia"/>
                <w:color w:val="auto"/>
                <w:kern w:val="0"/>
                <w:sz w:val="21"/>
                <w:szCs w:val="21"/>
                <w:highlight w:val="none"/>
                <w:lang w:val="en-US" w:eastAsia="zh-CN" w:bidi="ar-SA"/>
              </w:rPr>
              <w:t>）。驻场人员应负责日常系统巡检、故障处理、数据备份、用户培训等工作，每周需向</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提交巡检报告</w:t>
            </w:r>
            <w:r>
              <w:rPr>
                <w:rFonts w:hint="eastAsia" w:asciiTheme="majorEastAsia" w:hAnsiTheme="majorEastAsia" w:eastAsiaTheme="majorEastAsia" w:cstheme="majorEastAsia"/>
                <w:color w:val="auto"/>
                <w:kern w:val="0"/>
                <w:sz w:val="21"/>
                <w:szCs w:val="21"/>
                <w:highlight w:val="none"/>
                <w:lang w:val="en-US" w:eastAsia="zh-CN" w:bidi="ar-SA"/>
              </w:rPr>
              <w:t>。</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bidi="ar-SA"/>
              </w:rPr>
              <w:t>3.</w:t>
            </w:r>
            <w:r>
              <w:rPr>
                <w:rFonts w:hint="default" w:asciiTheme="majorEastAsia" w:hAnsiTheme="majorEastAsia" w:eastAsiaTheme="majorEastAsia" w:cstheme="majorEastAsia"/>
                <w:color w:val="auto"/>
                <w:kern w:val="0"/>
                <w:sz w:val="21"/>
                <w:szCs w:val="21"/>
                <w:highlight w:val="none"/>
                <w:lang w:val="en-US" w:eastAsia="zh-CN" w:bidi="ar-SA"/>
              </w:rPr>
              <w:t>驻场人员人选：驻场人员由</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和</w:t>
            </w:r>
            <w:r>
              <w:rPr>
                <w:rFonts w:hint="eastAsia" w:asciiTheme="majorEastAsia" w:hAnsiTheme="majorEastAsia" w:eastAsiaTheme="majorEastAsia" w:cstheme="majorEastAsia"/>
                <w:color w:val="auto"/>
                <w:kern w:val="0"/>
                <w:sz w:val="21"/>
                <w:szCs w:val="21"/>
                <w:highlight w:val="none"/>
                <w:lang w:val="en-US" w:eastAsia="zh-CN" w:bidi="ar-SA"/>
              </w:rPr>
              <w:t>各潜在供应商</w:t>
            </w:r>
            <w:r>
              <w:rPr>
                <w:rFonts w:hint="default" w:asciiTheme="majorEastAsia" w:hAnsiTheme="majorEastAsia" w:eastAsiaTheme="majorEastAsia" w:cstheme="majorEastAsia"/>
                <w:color w:val="auto"/>
                <w:kern w:val="0"/>
                <w:sz w:val="21"/>
                <w:szCs w:val="21"/>
                <w:highlight w:val="none"/>
                <w:lang w:val="en-US" w:eastAsia="zh-CN" w:bidi="ar-SA"/>
              </w:rPr>
              <w:t>在签订维保协议时书面约定，在维保期内，若</w:t>
            </w:r>
            <w:r>
              <w:rPr>
                <w:rFonts w:hint="eastAsia" w:asciiTheme="majorEastAsia" w:hAnsiTheme="majorEastAsia" w:eastAsiaTheme="majorEastAsia" w:cstheme="majorEastAsia"/>
                <w:color w:val="auto"/>
                <w:kern w:val="0"/>
                <w:sz w:val="21"/>
                <w:szCs w:val="21"/>
                <w:highlight w:val="none"/>
                <w:lang w:val="en-US" w:eastAsia="zh-CN" w:bidi="ar-SA"/>
              </w:rPr>
              <w:t>各潜在供应商</w:t>
            </w:r>
            <w:r>
              <w:rPr>
                <w:rFonts w:hint="default" w:asciiTheme="majorEastAsia" w:hAnsiTheme="majorEastAsia" w:eastAsiaTheme="majorEastAsia" w:cstheme="majorEastAsia"/>
                <w:color w:val="auto"/>
                <w:kern w:val="0"/>
                <w:sz w:val="21"/>
                <w:szCs w:val="21"/>
                <w:highlight w:val="none"/>
                <w:lang w:val="en-US" w:eastAsia="zh-CN" w:bidi="ar-SA"/>
              </w:rPr>
              <w:t>派驻本项目的驻场人员能力不足，</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有权拒绝</w:t>
            </w:r>
            <w:r>
              <w:rPr>
                <w:rFonts w:hint="eastAsia" w:asciiTheme="majorEastAsia" w:hAnsiTheme="majorEastAsia" w:eastAsiaTheme="majorEastAsia" w:cstheme="majorEastAsia"/>
                <w:color w:val="auto"/>
                <w:kern w:val="0"/>
                <w:sz w:val="21"/>
                <w:szCs w:val="21"/>
                <w:highlight w:val="none"/>
                <w:lang w:val="en-US" w:eastAsia="zh-CN" w:bidi="ar-SA"/>
              </w:rPr>
              <w:t>各潜在供应商</w:t>
            </w:r>
            <w:r>
              <w:rPr>
                <w:rFonts w:hint="default" w:asciiTheme="majorEastAsia" w:hAnsiTheme="majorEastAsia" w:eastAsiaTheme="majorEastAsia" w:cstheme="majorEastAsia"/>
                <w:color w:val="auto"/>
                <w:kern w:val="0"/>
                <w:sz w:val="21"/>
                <w:szCs w:val="21"/>
                <w:highlight w:val="none"/>
                <w:lang w:val="en-US" w:eastAsia="zh-CN" w:bidi="ar-SA"/>
              </w:rPr>
              <w:t>推荐的驻场人员，并要求更换。派驻的驻场人员要相对稳定，未经</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允许不得随意更换。</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bidi="ar-SA"/>
              </w:rPr>
              <w:t>4</w:t>
            </w:r>
            <w:r>
              <w:rPr>
                <w:rFonts w:hint="default" w:asciiTheme="majorEastAsia" w:hAnsiTheme="majorEastAsia" w:eastAsiaTheme="majorEastAsia" w:cstheme="majorEastAsia"/>
                <w:color w:val="auto"/>
                <w:kern w:val="0"/>
                <w:sz w:val="21"/>
                <w:szCs w:val="21"/>
                <w:highlight w:val="none"/>
                <w:lang w:val="en-US" w:eastAsia="zh-CN" w:bidi="ar-SA"/>
              </w:rPr>
              <w:t>.当驻场人员不能在规定时间内解决系统问题，需安排其他技术人员在规定的时间内到达现场帮助进行故障定位，并提出解决方案，最终指导排除故障。</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bidi="ar-SA"/>
              </w:rPr>
              <w:t>5.各潜在供应商</w:t>
            </w:r>
            <w:r>
              <w:rPr>
                <w:rFonts w:hint="default" w:asciiTheme="majorEastAsia" w:hAnsiTheme="majorEastAsia" w:eastAsiaTheme="majorEastAsia" w:cstheme="majorEastAsia"/>
                <w:color w:val="auto"/>
                <w:kern w:val="0"/>
                <w:sz w:val="21"/>
                <w:szCs w:val="21"/>
                <w:highlight w:val="none"/>
                <w:lang w:val="en-US" w:eastAsia="zh-CN" w:bidi="ar-SA"/>
              </w:rPr>
              <w:t>应负责硬件产品主要部件、配件维修更换。质保期内，</w:t>
            </w:r>
            <w:r>
              <w:rPr>
                <w:rFonts w:hint="eastAsia" w:asciiTheme="majorEastAsia" w:hAnsiTheme="majorEastAsia" w:eastAsiaTheme="majorEastAsia" w:cstheme="majorEastAsia"/>
                <w:color w:val="auto"/>
                <w:kern w:val="0"/>
                <w:sz w:val="21"/>
                <w:szCs w:val="21"/>
                <w:highlight w:val="none"/>
                <w:lang w:val="en-US" w:eastAsia="zh-CN" w:bidi="ar-SA"/>
              </w:rPr>
              <w:t>各潜在供应商</w:t>
            </w:r>
            <w:r>
              <w:rPr>
                <w:rFonts w:hint="default" w:asciiTheme="majorEastAsia" w:hAnsiTheme="majorEastAsia" w:eastAsiaTheme="majorEastAsia" w:cstheme="majorEastAsia"/>
                <w:color w:val="auto"/>
                <w:kern w:val="0"/>
                <w:sz w:val="21"/>
                <w:szCs w:val="21"/>
                <w:highlight w:val="none"/>
                <w:lang w:val="en-US" w:eastAsia="zh-CN" w:bidi="ar-SA"/>
              </w:rPr>
              <w:t>对硬件（人为故意损坏除外）提供保修或更换（费用包含于项目总价中）</w:t>
            </w:r>
            <w:r>
              <w:rPr>
                <w:rFonts w:hint="eastAsia" w:asciiTheme="majorEastAsia" w:hAnsiTheme="majorEastAsia" w:eastAsiaTheme="majorEastAsia" w:cstheme="majorEastAsia"/>
                <w:color w:val="auto"/>
                <w:kern w:val="0"/>
                <w:sz w:val="21"/>
                <w:szCs w:val="21"/>
                <w:highlight w:val="none"/>
                <w:lang w:val="en-US" w:eastAsia="zh-CN" w:bidi="ar-SA"/>
              </w:rPr>
              <w:t>，</w:t>
            </w:r>
            <w:r>
              <w:rPr>
                <w:rFonts w:ascii="宋体" w:hAnsi="宋体" w:eastAsia="宋体" w:cs="宋体"/>
                <w:color w:val="auto"/>
                <w:sz w:val="21"/>
                <w:highlight w:val="none"/>
              </w:rPr>
              <w:t>经院方信息技术人员评估为</w:t>
            </w:r>
            <w:r>
              <w:rPr>
                <w:rFonts w:hint="eastAsia" w:ascii="宋体" w:hAnsi="宋体" w:eastAsia="宋体" w:cs="宋体"/>
                <w:color w:val="auto"/>
                <w:sz w:val="21"/>
                <w:highlight w:val="none"/>
                <w:lang w:val="en-US" w:eastAsia="zh-CN"/>
              </w:rPr>
              <w:t>硬件</w:t>
            </w:r>
            <w:r>
              <w:rPr>
                <w:rFonts w:ascii="宋体" w:hAnsi="宋体" w:eastAsia="宋体" w:cs="宋体"/>
                <w:color w:val="auto"/>
                <w:sz w:val="21"/>
                <w:highlight w:val="none"/>
              </w:rPr>
              <w:t>使用年限长达</w:t>
            </w:r>
            <w:r>
              <w:rPr>
                <w:rFonts w:hint="eastAsia" w:ascii="宋体" w:hAnsi="宋体" w:eastAsia="宋体" w:cs="宋体"/>
                <w:color w:val="auto"/>
                <w:sz w:val="21"/>
                <w:highlight w:val="none"/>
                <w:lang w:val="en-US" w:eastAsia="zh-CN"/>
              </w:rPr>
              <w:t>6</w:t>
            </w:r>
            <w:r>
              <w:rPr>
                <w:rFonts w:ascii="宋体" w:hAnsi="宋体" w:eastAsia="宋体" w:cs="宋体"/>
                <w:color w:val="auto"/>
                <w:sz w:val="21"/>
                <w:highlight w:val="none"/>
              </w:rPr>
              <w:t>年，无维修价值的将按医院流程报废，将不再进行配件升级</w:t>
            </w:r>
            <w:r>
              <w:rPr>
                <w:rFonts w:hint="default" w:asciiTheme="majorEastAsia" w:hAnsiTheme="majorEastAsia" w:eastAsiaTheme="majorEastAsia" w:cstheme="majorEastAsia"/>
                <w:color w:val="auto"/>
                <w:kern w:val="0"/>
                <w:sz w:val="21"/>
                <w:szCs w:val="21"/>
                <w:highlight w:val="none"/>
                <w:lang w:val="en-US" w:eastAsia="zh-CN" w:bidi="ar-SA"/>
              </w:rPr>
              <w:t>。</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（二）服务响应时间</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1.提供7×24小时全天技术服务支持。</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①7×24小时随时电话响应。响应时间不得超过【10】分钟，日常故障（不影响业务正常开展，仅为系统功能异常）</w:t>
            </w:r>
            <w:r>
              <w:rPr>
                <w:rFonts w:hint="eastAsia" w:asciiTheme="majorEastAsia" w:hAnsiTheme="majorEastAsia" w:eastAsiaTheme="majorEastAsia" w:cstheme="majorEastAsia"/>
                <w:color w:val="auto"/>
                <w:kern w:val="0"/>
                <w:sz w:val="21"/>
                <w:szCs w:val="21"/>
                <w:highlight w:val="none"/>
                <w:lang w:val="en-US" w:eastAsia="zh-CN" w:bidi="ar-SA"/>
              </w:rPr>
              <w:t>能立即解决的</w:t>
            </w:r>
            <w:r>
              <w:rPr>
                <w:rFonts w:hint="default" w:asciiTheme="majorEastAsia" w:hAnsiTheme="majorEastAsia" w:eastAsiaTheme="majorEastAsia" w:cstheme="majorEastAsia"/>
                <w:color w:val="auto"/>
                <w:kern w:val="0"/>
                <w:sz w:val="21"/>
                <w:szCs w:val="21"/>
                <w:highlight w:val="none"/>
                <w:lang w:val="en-US" w:eastAsia="zh-CN" w:bidi="ar-SA"/>
              </w:rPr>
              <w:t>【30】分钟内解决</w:t>
            </w:r>
            <w:r>
              <w:rPr>
                <w:rFonts w:hint="eastAsia" w:asciiTheme="majorEastAsia" w:hAnsiTheme="majorEastAsia" w:eastAsiaTheme="majorEastAsia" w:cstheme="majorEastAsia"/>
                <w:color w:val="auto"/>
                <w:kern w:val="0"/>
                <w:sz w:val="21"/>
                <w:szCs w:val="21"/>
                <w:highlight w:val="none"/>
                <w:lang w:val="en-US" w:eastAsia="zh-CN" w:bidi="ar-SA"/>
              </w:rPr>
              <w:t>，不能立即解决的3个工作日内解决，紧急重大故障处理要求见下表。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3"/>
              <w:gridCol w:w="2623"/>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tcPr>
                <w:p>
                  <w:pPr>
                    <w:pStyle w:val="25"/>
                    <w:widowControl w:val="0"/>
                    <w:jc w:val="center"/>
                    <w:rPr>
                      <w:rFonts w:hint="default" w:asciiTheme="majorEastAsia" w:hAnsiTheme="majorEastAsia" w:eastAsiaTheme="majorEastAsia" w:cstheme="majorEastAsia"/>
                      <w:color w:val="auto"/>
                      <w:kern w:val="0"/>
                      <w:sz w:val="21"/>
                      <w:szCs w:val="21"/>
                      <w:highlight w:val="none"/>
                      <w:vertAlign w:val="baseline"/>
                      <w:lang w:val="en-US" w:eastAsia="zh-CN" w:bidi="ar-SA"/>
                    </w:rPr>
                  </w:pPr>
                  <w:r>
                    <w:rPr>
                      <w:rFonts w:hint="eastAsia" w:asciiTheme="majorEastAsia" w:hAnsiTheme="majorEastAsia" w:eastAsiaTheme="majorEastAsia" w:cstheme="majorEastAsia"/>
                      <w:color w:val="auto"/>
                      <w:kern w:val="0"/>
                      <w:sz w:val="21"/>
                      <w:szCs w:val="21"/>
                      <w:highlight w:val="none"/>
                      <w:vertAlign w:val="baseline"/>
                      <w:lang w:val="en-US" w:eastAsia="zh-CN" w:bidi="ar-SA"/>
                    </w:rPr>
                    <w:t>故障分类</w:t>
                  </w:r>
                </w:p>
              </w:tc>
              <w:tc>
                <w:tcPr>
                  <w:tcW w:w="2623" w:type="dxa"/>
                </w:tcPr>
                <w:p>
                  <w:pPr>
                    <w:pStyle w:val="25"/>
                    <w:widowControl w:val="0"/>
                    <w:jc w:val="center"/>
                    <w:rPr>
                      <w:rFonts w:hint="default" w:asciiTheme="majorEastAsia" w:hAnsiTheme="majorEastAsia" w:eastAsiaTheme="majorEastAsia" w:cstheme="majorEastAsia"/>
                      <w:color w:val="auto"/>
                      <w:kern w:val="0"/>
                      <w:sz w:val="21"/>
                      <w:szCs w:val="21"/>
                      <w:highlight w:val="none"/>
                      <w:vertAlign w:val="baseline"/>
                      <w:lang w:val="en-US" w:eastAsia="zh-CN" w:bidi="ar-SA"/>
                    </w:rPr>
                  </w:pPr>
                  <w:r>
                    <w:rPr>
                      <w:rFonts w:hint="eastAsia" w:asciiTheme="majorEastAsia" w:hAnsiTheme="majorEastAsia" w:eastAsiaTheme="majorEastAsia" w:cstheme="majorEastAsia"/>
                      <w:color w:val="auto"/>
                      <w:kern w:val="0"/>
                      <w:sz w:val="21"/>
                      <w:szCs w:val="21"/>
                      <w:highlight w:val="none"/>
                      <w:vertAlign w:val="baseline"/>
                      <w:lang w:val="en-US" w:eastAsia="zh-CN" w:bidi="ar-SA"/>
                    </w:rPr>
                    <w:t>现场到达时间</w:t>
                  </w:r>
                </w:p>
              </w:tc>
              <w:tc>
                <w:tcPr>
                  <w:tcW w:w="1805" w:type="dxa"/>
                </w:tcPr>
                <w:p>
                  <w:pPr>
                    <w:pStyle w:val="25"/>
                    <w:widowControl w:val="0"/>
                    <w:jc w:val="center"/>
                    <w:rPr>
                      <w:rFonts w:hint="default" w:asciiTheme="majorEastAsia" w:hAnsiTheme="majorEastAsia" w:eastAsiaTheme="majorEastAsia" w:cstheme="majorEastAsia"/>
                      <w:color w:val="auto"/>
                      <w:kern w:val="0"/>
                      <w:sz w:val="21"/>
                      <w:szCs w:val="21"/>
                      <w:highlight w:val="none"/>
                      <w:vertAlign w:val="baseline"/>
                      <w:lang w:val="en-US" w:eastAsia="zh-CN" w:bidi="ar-SA"/>
                    </w:rPr>
                  </w:pPr>
                  <w:r>
                    <w:rPr>
                      <w:rFonts w:hint="eastAsia" w:asciiTheme="majorEastAsia" w:hAnsiTheme="majorEastAsia" w:eastAsiaTheme="majorEastAsia" w:cstheme="majorEastAsia"/>
                      <w:color w:val="auto"/>
                      <w:kern w:val="0"/>
                      <w:sz w:val="21"/>
                      <w:szCs w:val="21"/>
                      <w:highlight w:val="none"/>
                      <w:vertAlign w:val="baseline"/>
                      <w:lang w:val="en-US" w:eastAsia="zh-CN" w:bidi="ar-SA"/>
                    </w:rPr>
                    <w:t>解决时间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vAlign w:val="center"/>
                </w:tcPr>
                <w:p>
                  <w:pPr>
                    <w:pStyle w:val="25"/>
                    <w:widowControl w:val="0"/>
                    <w:jc w:val="both"/>
                    <w:rPr>
                      <w:rFonts w:hint="default" w:asciiTheme="majorEastAsia" w:hAnsiTheme="majorEastAsia" w:eastAsiaTheme="majorEastAsia" w:cstheme="majorEastAsia"/>
                      <w:color w:val="auto"/>
                      <w:kern w:val="0"/>
                      <w:sz w:val="21"/>
                      <w:szCs w:val="21"/>
                      <w:highlight w:val="none"/>
                      <w:vertAlign w:val="baseli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紧急故障（导致系统瘫痪、无法正常开展医疗业务）</w:t>
                  </w:r>
                </w:p>
              </w:tc>
              <w:tc>
                <w:tcPr>
                  <w:tcW w:w="2623" w:type="dxa"/>
                  <w:vAlign w:val="center"/>
                </w:tcPr>
                <w:p>
                  <w:pPr>
                    <w:pStyle w:val="25"/>
                    <w:widowControl w:val="0"/>
                    <w:jc w:val="both"/>
                    <w:rPr>
                      <w:rFonts w:hint="default" w:asciiTheme="majorEastAsia" w:hAnsiTheme="majorEastAsia" w:eastAsiaTheme="majorEastAsia" w:cstheme="majorEastAsia"/>
                      <w:color w:val="auto"/>
                      <w:kern w:val="0"/>
                      <w:sz w:val="21"/>
                      <w:szCs w:val="21"/>
                      <w:highlight w:val="none"/>
                      <w:vertAlign w:val="baseli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现场到达时间≤</w:t>
                  </w:r>
                  <w:r>
                    <w:rPr>
                      <w:rFonts w:hint="eastAsia" w:asciiTheme="majorEastAsia" w:hAnsiTheme="majorEastAsia" w:eastAsiaTheme="majorEastAsia" w:cstheme="majorEastAsia"/>
                      <w:color w:val="auto"/>
                      <w:kern w:val="0"/>
                      <w:sz w:val="21"/>
                      <w:szCs w:val="21"/>
                      <w:highlight w:val="none"/>
                      <w:lang w:val="en-US" w:eastAsia="zh-CN" w:bidi="ar-SA"/>
                    </w:rPr>
                    <w:t>1</w:t>
                  </w:r>
                  <w:r>
                    <w:rPr>
                      <w:rFonts w:hint="default" w:asciiTheme="majorEastAsia" w:hAnsiTheme="majorEastAsia" w:eastAsiaTheme="majorEastAsia" w:cstheme="majorEastAsia"/>
                      <w:color w:val="auto"/>
                      <w:kern w:val="0"/>
                      <w:sz w:val="21"/>
                      <w:szCs w:val="21"/>
                      <w:highlight w:val="none"/>
                      <w:lang w:val="en-US" w:eastAsia="zh-CN" w:bidi="ar-SA"/>
                    </w:rPr>
                    <w:t>小时</w:t>
                  </w:r>
                </w:p>
              </w:tc>
              <w:tc>
                <w:tcPr>
                  <w:tcW w:w="1805" w:type="dxa"/>
                  <w:vAlign w:val="center"/>
                </w:tcPr>
                <w:p>
                  <w:pPr>
                    <w:pStyle w:val="25"/>
                    <w:widowControl w:val="0"/>
                    <w:jc w:val="both"/>
                    <w:rPr>
                      <w:rFonts w:hint="default" w:asciiTheme="majorEastAsia" w:hAnsiTheme="majorEastAsia" w:eastAsiaTheme="majorEastAsia" w:cstheme="majorEastAsia"/>
                      <w:color w:val="auto"/>
                      <w:kern w:val="0"/>
                      <w:sz w:val="21"/>
                      <w:szCs w:val="21"/>
                      <w:highlight w:val="none"/>
                      <w:vertAlign w:val="baseli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解决时间≤2小时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vAlign w:val="center"/>
                </w:tcPr>
                <w:p>
                  <w:pPr>
                    <w:pStyle w:val="25"/>
                    <w:widowControl w:val="0"/>
                    <w:jc w:val="both"/>
                    <w:rPr>
                      <w:rFonts w:hint="default" w:asciiTheme="majorEastAsia" w:hAnsiTheme="majorEastAsia" w:eastAsiaTheme="majorEastAsia" w:cstheme="majorEastAsia"/>
                      <w:color w:val="auto"/>
                      <w:kern w:val="0"/>
                      <w:sz w:val="21"/>
                      <w:szCs w:val="21"/>
                      <w:highlight w:val="none"/>
                      <w:vertAlign w:val="baseli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重大故障（影响部分业务正常开展）</w:t>
                  </w:r>
                </w:p>
              </w:tc>
              <w:tc>
                <w:tcPr>
                  <w:tcW w:w="2623" w:type="dxa"/>
                  <w:vAlign w:val="center"/>
                </w:tcPr>
                <w:p>
                  <w:pPr>
                    <w:pStyle w:val="25"/>
                    <w:widowControl w:val="0"/>
                    <w:jc w:val="both"/>
                    <w:rPr>
                      <w:rFonts w:hint="default" w:asciiTheme="majorEastAsia" w:hAnsiTheme="majorEastAsia" w:eastAsiaTheme="majorEastAsia" w:cstheme="majorEastAsia"/>
                      <w:color w:val="auto"/>
                      <w:kern w:val="0"/>
                      <w:sz w:val="21"/>
                      <w:szCs w:val="21"/>
                      <w:highlight w:val="none"/>
                      <w:vertAlign w:val="baseli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现场到达时间≤</w:t>
                  </w:r>
                  <w:r>
                    <w:rPr>
                      <w:rFonts w:hint="eastAsia" w:asciiTheme="majorEastAsia" w:hAnsiTheme="majorEastAsia" w:eastAsiaTheme="majorEastAsia" w:cstheme="majorEastAsia"/>
                      <w:color w:val="auto"/>
                      <w:kern w:val="0"/>
                      <w:sz w:val="21"/>
                      <w:szCs w:val="21"/>
                      <w:highlight w:val="none"/>
                      <w:lang w:val="en-US" w:eastAsia="zh-CN" w:bidi="ar-SA"/>
                    </w:rPr>
                    <w:t>2</w:t>
                  </w:r>
                  <w:r>
                    <w:rPr>
                      <w:rFonts w:hint="default" w:asciiTheme="majorEastAsia" w:hAnsiTheme="majorEastAsia" w:eastAsiaTheme="majorEastAsia" w:cstheme="majorEastAsia"/>
                      <w:color w:val="auto"/>
                      <w:kern w:val="0"/>
                      <w:sz w:val="21"/>
                      <w:szCs w:val="21"/>
                      <w:highlight w:val="none"/>
                      <w:lang w:val="en-US" w:eastAsia="zh-CN" w:bidi="ar-SA"/>
                    </w:rPr>
                    <w:t>小时</w:t>
                  </w:r>
                </w:p>
              </w:tc>
              <w:tc>
                <w:tcPr>
                  <w:tcW w:w="1805" w:type="dxa"/>
                  <w:vAlign w:val="center"/>
                </w:tcPr>
                <w:p>
                  <w:pPr>
                    <w:pStyle w:val="25"/>
                    <w:widowControl w:val="0"/>
                    <w:jc w:val="both"/>
                    <w:rPr>
                      <w:rFonts w:hint="default" w:asciiTheme="majorEastAsia" w:hAnsiTheme="majorEastAsia" w:eastAsiaTheme="majorEastAsia" w:cstheme="majorEastAsia"/>
                      <w:color w:val="auto"/>
                      <w:kern w:val="0"/>
                      <w:sz w:val="21"/>
                      <w:szCs w:val="21"/>
                      <w:highlight w:val="none"/>
                      <w:vertAlign w:val="baseli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解决时间≤</w:t>
                  </w:r>
                  <w:r>
                    <w:rPr>
                      <w:rFonts w:hint="eastAsia" w:asciiTheme="majorEastAsia" w:hAnsiTheme="majorEastAsia" w:eastAsiaTheme="majorEastAsia" w:cstheme="majorEastAsia"/>
                      <w:color w:val="auto"/>
                      <w:kern w:val="0"/>
                      <w:sz w:val="21"/>
                      <w:szCs w:val="21"/>
                      <w:highlight w:val="none"/>
                      <w:lang w:val="en-US" w:eastAsia="zh-CN" w:bidi="ar-SA"/>
                    </w:rPr>
                    <w:t>4</w:t>
                  </w:r>
                  <w:r>
                    <w:rPr>
                      <w:rFonts w:hint="default" w:asciiTheme="majorEastAsia" w:hAnsiTheme="majorEastAsia" w:eastAsiaTheme="majorEastAsia" w:cstheme="majorEastAsia"/>
                      <w:color w:val="auto"/>
                      <w:kern w:val="0"/>
                      <w:sz w:val="21"/>
                      <w:szCs w:val="21"/>
                      <w:highlight w:val="none"/>
                      <w:lang w:val="en-US" w:eastAsia="zh-CN" w:bidi="ar-SA"/>
                    </w:rPr>
                    <w:t>小时</w:t>
                  </w:r>
                </w:p>
              </w:tc>
            </w:tr>
          </w:tbl>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对于现场</w:t>
            </w:r>
            <w:r>
              <w:rPr>
                <w:rFonts w:hint="eastAsia" w:asciiTheme="majorEastAsia" w:hAnsiTheme="majorEastAsia" w:eastAsiaTheme="majorEastAsia" w:cstheme="majorEastAsia"/>
                <w:color w:val="auto"/>
                <w:kern w:val="0"/>
                <w:sz w:val="21"/>
                <w:szCs w:val="21"/>
                <w:highlight w:val="none"/>
                <w:lang w:val="en-US" w:eastAsia="zh-CN" w:bidi="ar-SA"/>
              </w:rPr>
              <w:t>驻场</w:t>
            </w:r>
            <w:r>
              <w:rPr>
                <w:rFonts w:hint="default" w:asciiTheme="majorEastAsia" w:hAnsiTheme="majorEastAsia" w:eastAsiaTheme="majorEastAsia" w:cstheme="majorEastAsia"/>
                <w:color w:val="auto"/>
                <w:kern w:val="0"/>
                <w:sz w:val="21"/>
                <w:szCs w:val="21"/>
                <w:highlight w:val="none"/>
                <w:lang w:val="en-US" w:eastAsia="zh-CN" w:bidi="ar-SA"/>
              </w:rPr>
              <w:t>工程师无法解决的问题，经</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授权通过远程登录到</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网络系统进行故障诊断和排除。远程也未能排除故障的，应在【4】小时内安排级别更高、技术能力更强的上门服务，并在到场后</w:t>
            </w:r>
            <w:r>
              <w:rPr>
                <w:rFonts w:hint="eastAsia" w:asciiTheme="majorEastAsia" w:hAnsiTheme="majorEastAsia" w:eastAsiaTheme="majorEastAsia" w:cstheme="majorEastAsia"/>
                <w:color w:val="auto"/>
                <w:kern w:val="0"/>
                <w:sz w:val="21"/>
                <w:szCs w:val="21"/>
                <w:highlight w:val="none"/>
                <w:lang w:val="en-US" w:eastAsia="zh-CN" w:bidi="ar-SA"/>
              </w:rPr>
              <w:t>在按约定时间</w:t>
            </w:r>
            <w:r>
              <w:rPr>
                <w:rFonts w:hint="default" w:asciiTheme="majorEastAsia" w:hAnsiTheme="majorEastAsia" w:eastAsiaTheme="majorEastAsia" w:cstheme="majorEastAsia"/>
                <w:color w:val="auto"/>
                <w:kern w:val="0"/>
                <w:sz w:val="21"/>
                <w:szCs w:val="21"/>
                <w:highlight w:val="none"/>
                <w:lang w:val="en-US" w:eastAsia="zh-CN" w:bidi="ar-SA"/>
              </w:rPr>
              <w:t>排除故障并保证</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能够正常使用。中标方未在约定期限内到场维修的。</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②在非工作时间段，对于必须派人现场解决的问题，保证在收到现场服务通知后，驻场人1小时内到达现场，并在2小时内保证问题的解决。</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2.日常工作任务：驻场人员立即给予答复并着手解决。3.紧急攻关时刻：派遣的其他技术支持人员需在24小时内到达现场。</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（三）售后要求：</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bidi="ar-SA"/>
              </w:rPr>
              <w:t>1.各潜在供应商</w:t>
            </w:r>
            <w:r>
              <w:rPr>
                <w:rFonts w:hint="default" w:asciiTheme="majorEastAsia" w:hAnsiTheme="majorEastAsia" w:eastAsiaTheme="majorEastAsia" w:cstheme="majorEastAsia"/>
                <w:color w:val="auto"/>
                <w:kern w:val="0"/>
                <w:sz w:val="21"/>
                <w:szCs w:val="21"/>
                <w:highlight w:val="none"/>
                <w:lang w:val="en-US" w:eastAsia="zh-CN" w:bidi="ar-SA"/>
              </w:rPr>
              <w:t>有售后服务能力，</w:t>
            </w:r>
            <w:r>
              <w:rPr>
                <w:rFonts w:hint="eastAsia" w:asciiTheme="majorEastAsia" w:hAnsiTheme="majorEastAsia" w:eastAsiaTheme="majorEastAsia" w:cstheme="majorEastAsia"/>
                <w:color w:val="auto"/>
                <w:kern w:val="0"/>
                <w:sz w:val="21"/>
                <w:szCs w:val="21"/>
                <w:highlight w:val="none"/>
                <w:lang w:val="en-US" w:eastAsia="zh-CN" w:bidi="ar-SA"/>
              </w:rPr>
              <w:t>在服务期间</w:t>
            </w:r>
            <w:r>
              <w:rPr>
                <w:rFonts w:hint="default" w:asciiTheme="majorEastAsia" w:hAnsiTheme="majorEastAsia" w:eastAsiaTheme="majorEastAsia" w:cstheme="majorEastAsia"/>
                <w:color w:val="auto"/>
                <w:kern w:val="0"/>
                <w:sz w:val="21"/>
                <w:szCs w:val="21"/>
                <w:highlight w:val="none"/>
                <w:lang w:val="en-US" w:eastAsia="zh-CN" w:bidi="ar-SA"/>
              </w:rPr>
              <w:t>，包括但不限于：提供软件产品维护、更新、升级、改版服务；需求优化、升级或改造；性能及功能故障排查、处理和维护；软件的功能增强性维护等应用软件系统扩充升级（其中包括：系统维护、跟踪检测）；系统日常问题故障处理、改正性维护、完善性维护、预防性维护、适应政策性修改、制作各类统计报表，完成审计等政策性的数据提取、核对等工作。提供因包含政策、</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规划等原因要求的系统及数据迁移；配合进行信创、密评相关改造等，费用均包含于项目总价中，不得再收取院方或第三方公司任何接口费。</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2.作息时间：驻场人员由</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进行日常工作管理，作息时间按照工作日（</w:t>
            </w:r>
            <w:r>
              <w:rPr>
                <w:color w:val="auto"/>
                <w:highlight w:val="none"/>
              </w:rPr>
              <w:t>与</w:t>
            </w:r>
            <w:r>
              <w:rPr>
                <w:rFonts w:hint="eastAsia"/>
                <w:color w:val="auto"/>
                <w:highlight w:val="none"/>
                <w:lang w:eastAsia="zh-CN"/>
              </w:rPr>
              <w:t>医院</w:t>
            </w:r>
            <w:r>
              <w:rPr>
                <w:color w:val="auto"/>
                <w:highlight w:val="none"/>
              </w:rPr>
              <w:t>工作时间保持一致</w:t>
            </w:r>
            <w:r>
              <w:rPr>
                <w:rFonts w:hint="default" w:asciiTheme="majorEastAsia" w:hAnsiTheme="majorEastAsia" w:eastAsiaTheme="majorEastAsia" w:cstheme="majorEastAsia"/>
                <w:color w:val="auto"/>
                <w:kern w:val="0"/>
                <w:sz w:val="21"/>
                <w:szCs w:val="21"/>
                <w:highlight w:val="none"/>
                <w:lang w:val="en-US" w:eastAsia="zh-CN" w:bidi="ar-SA"/>
              </w:rPr>
              <w:t>）执行。除特殊情况并经</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同意外，驻场人员工作时间不得离开工作岗位。考勤、休假由</w:t>
            </w:r>
            <w:r>
              <w:rPr>
                <w:rFonts w:hint="eastAsia" w:asciiTheme="majorEastAsia" w:hAnsiTheme="majorEastAsia" w:eastAsiaTheme="majorEastAsia" w:cstheme="majorEastAsia"/>
                <w:color w:val="auto"/>
                <w:kern w:val="0"/>
                <w:sz w:val="21"/>
                <w:szCs w:val="21"/>
                <w:highlight w:val="none"/>
                <w:lang w:val="en-US" w:eastAsia="zh-CN" w:bidi="ar-SA"/>
              </w:rPr>
              <w:t>各潜在供应商</w:t>
            </w:r>
            <w:r>
              <w:rPr>
                <w:rFonts w:hint="default" w:asciiTheme="majorEastAsia" w:hAnsiTheme="majorEastAsia" w:eastAsiaTheme="majorEastAsia" w:cstheme="majorEastAsia"/>
                <w:color w:val="auto"/>
                <w:kern w:val="0"/>
                <w:sz w:val="21"/>
                <w:szCs w:val="21"/>
                <w:highlight w:val="none"/>
                <w:lang w:val="en-US" w:eastAsia="zh-CN" w:bidi="ar-SA"/>
              </w:rPr>
              <w:t>管理。</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3.</w:t>
            </w:r>
            <w:r>
              <w:rPr>
                <w:rFonts w:hint="eastAsia" w:asciiTheme="majorEastAsia" w:hAnsiTheme="majorEastAsia" w:eastAsiaTheme="majorEastAsia" w:cstheme="majorEastAsia"/>
                <w:color w:val="auto"/>
                <w:kern w:val="0"/>
                <w:sz w:val="21"/>
                <w:szCs w:val="21"/>
                <w:highlight w:val="none"/>
                <w:lang w:val="en-US" w:eastAsia="zh-CN" w:bidi="ar-SA"/>
              </w:rPr>
              <w:t>各潜在供应商</w:t>
            </w:r>
            <w:r>
              <w:rPr>
                <w:rFonts w:hint="default" w:asciiTheme="majorEastAsia" w:hAnsiTheme="majorEastAsia" w:eastAsiaTheme="majorEastAsia" w:cstheme="majorEastAsia"/>
                <w:color w:val="auto"/>
                <w:kern w:val="0"/>
                <w:sz w:val="21"/>
                <w:szCs w:val="21"/>
                <w:highlight w:val="none"/>
                <w:lang w:val="en-US" w:eastAsia="zh-CN" w:bidi="ar-SA"/>
              </w:rPr>
              <w:t>在进行软件升级、整改、发布操作时，必须提前以书面形式告之</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。至少包括：操作人员、操作时间、操作内容、后续影响且征得</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同意后进行操作。</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4.</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提出软件相关的问题或疑惑，</w:t>
            </w:r>
            <w:r>
              <w:rPr>
                <w:rFonts w:hint="eastAsia" w:asciiTheme="majorEastAsia" w:hAnsiTheme="majorEastAsia" w:eastAsiaTheme="majorEastAsia" w:cstheme="majorEastAsia"/>
                <w:color w:val="auto"/>
                <w:kern w:val="0"/>
                <w:sz w:val="21"/>
                <w:szCs w:val="21"/>
                <w:highlight w:val="none"/>
                <w:lang w:val="en-US" w:eastAsia="zh-CN" w:bidi="ar-SA"/>
              </w:rPr>
              <w:t>各潜在供应商</w:t>
            </w:r>
            <w:r>
              <w:rPr>
                <w:rFonts w:hint="default" w:asciiTheme="majorEastAsia" w:hAnsiTheme="majorEastAsia" w:eastAsiaTheme="majorEastAsia" w:cstheme="majorEastAsia"/>
                <w:color w:val="auto"/>
                <w:kern w:val="0"/>
                <w:sz w:val="21"/>
                <w:szCs w:val="21"/>
                <w:highlight w:val="none"/>
                <w:lang w:val="en-US" w:eastAsia="zh-CN" w:bidi="ar-SA"/>
              </w:rPr>
              <w:t>应主动积极解答或指导处理解决，不得推脱和消极对待。</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5.问题处理：驻场人员无法及时解决的问题，</w:t>
            </w:r>
            <w:r>
              <w:rPr>
                <w:rFonts w:hint="eastAsia" w:asciiTheme="majorEastAsia" w:hAnsiTheme="majorEastAsia" w:eastAsiaTheme="majorEastAsia" w:cstheme="majorEastAsia"/>
                <w:color w:val="auto"/>
                <w:kern w:val="0"/>
                <w:sz w:val="21"/>
                <w:szCs w:val="21"/>
                <w:highlight w:val="none"/>
                <w:lang w:val="en-US" w:eastAsia="zh-CN" w:bidi="ar-SA"/>
              </w:rPr>
              <w:t>各潜在供应商</w:t>
            </w:r>
            <w:r>
              <w:rPr>
                <w:rFonts w:hint="default" w:asciiTheme="majorEastAsia" w:hAnsiTheme="majorEastAsia" w:eastAsiaTheme="majorEastAsia" w:cstheme="majorEastAsia"/>
                <w:color w:val="auto"/>
                <w:kern w:val="0"/>
                <w:sz w:val="21"/>
                <w:szCs w:val="21"/>
                <w:highlight w:val="none"/>
                <w:lang w:val="en-US" w:eastAsia="zh-CN" w:bidi="ar-SA"/>
              </w:rPr>
              <w:t>须派遣更高级别储备人员（例如：驻场人员直接领导或更高级领导）及时到场解决。</w:t>
            </w:r>
          </w:p>
          <w:p>
            <w:pPr>
              <w:pStyle w:val="25"/>
              <w:widowControl w:val="0"/>
              <w:numPr>
                <w:ilvl w:val="0"/>
                <w:numId w:val="0"/>
              </w:numPr>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6.提供特殊保障服务：在重大节假日、省市级活动及其它特殊时期前巡查系统健康状态，</w:t>
            </w:r>
            <w:r>
              <w:rPr>
                <w:rFonts w:hint="eastAsia" w:asciiTheme="majorEastAsia" w:hAnsiTheme="majorEastAsia" w:eastAsiaTheme="majorEastAsia" w:cstheme="majorEastAsia"/>
                <w:color w:val="auto"/>
                <w:kern w:val="0"/>
                <w:sz w:val="21"/>
                <w:szCs w:val="21"/>
                <w:highlight w:val="none"/>
                <w:lang w:val="en-US" w:eastAsia="zh-CN" w:bidi="ar-SA"/>
              </w:rPr>
              <w:t>各潜在供应商</w:t>
            </w:r>
            <w:r>
              <w:rPr>
                <w:rFonts w:hint="default" w:asciiTheme="majorEastAsia" w:hAnsiTheme="majorEastAsia" w:eastAsiaTheme="majorEastAsia" w:cstheme="majorEastAsia"/>
                <w:color w:val="auto"/>
                <w:kern w:val="0"/>
                <w:sz w:val="21"/>
                <w:szCs w:val="21"/>
                <w:highlight w:val="none"/>
                <w:lang w:val="en-US" w:eastAsia="zh-CN" w:bidi="ar-SA"/>
              </w:rPr>
              <w:t>应确保系统（包含：服务器操作系统、数据库、应用服务、客户端）的正常使用</w:t>
            </w:r>
            <w:r>
              <w:rPr>
                <w:rFonts w:hint="eastAsia" w:asciiTheme="majorEastAsia" w:hAnsiTheme="majorEastAsia" w:eastAsiaTheme="majorEastAsia" w:cstheme="majorEastAsia"/>
                <w:color w:val="auto"/>
                <w:kern w:val="0"/>
                <w:sz w:val="21"/>
                <w:szCs w:val="21"/>
                <w:highlight w:val="none"/>
                <w:lang w:val="en-US" w:eastAsia="zh-CN" w:bidi="ar-SA"/>
              </w:rPr>
              <w:t>，</w:t>
            </w:r>
            <w:r>
              <w:rPr>
                <w:rFonts w:hint="default" w:asciiTheme="majorEastAsia" w:hAnsiTheme="majorEastAsia" w:eastAsiaTheme="majorEastAsia" w:cstheme="majorEastAsia"/>
                <w:color w:val="auto"/>
                <w:kern w:val="0"/>
                <w:sz w:val="21"/>
                <w:szCs w:val="21"/>
                <w:highlight w:val="none"/>
                <w:lang w:val="en-US" w:eastAsia="zh-CN" w:bidi="ar-SA"/>
              </w:rPr>
              <w:t>需要配合</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作好相应技术支持工作。</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7.文档管理和信息支持服务：提供日常安全检查相关记录；提供年度安全检查报告；提供维保期间系统维护日志及档案管理服务；提供培训中各类技术支持文档。</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8.周报、周例会制度</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8.1建立周工作报告制，定期向</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汇报运维工作情况；</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8.2周工作报告内容包括两部分：</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①每周运维工作总结、研发进度以及每周针对应用所做的产品升级或者新增研发功能。</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②遇到需要双方共同讨论完成的需求方案，驻场人员可向</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申请组织周例会，共同讨论制定解决方案。</w:t>
            </w:r>
          </w:p>
          <w:p>
            <w:pPr>
              <w:pStyle w:val="25"/>
              <w:widowControl w:val="0"/>
              <w:numPr>
                <w:ilvl w:val="0"/>
                <w:numId w:val="3"/>
              </w:numPr>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非故障性的其他系统升级、优化、政策指令性等需求，应在政策指令要求的时限前完成（以需求正式提交时间为准），系统BUG修正时间不超过1周（以BUG确认时间为准）。每月需派工程技术人员现场进行回访，保障系统运行状态良好。</w:t>
            </w:r>
          </w:p>
          <w:p>
            <w:pPr>
              <w:pStyle w:val="25"/>
              <w:widowControl w:val="0"/>
              <w:numPr>
                <w:ilvl w:val="0"/>
                <w:numId w:val="3"/>
              </w:numPr>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对重大的技术问题，</w:t>
            </w:r>
            <w:r>
              <w:rPr>
                <w:rFonts w:hint="eastAsia" w:asciiTheme="majorEastAsia" w:hAnsiTheme="majorEastAsia" w:eastAsiaTheme="majorEastAsia" w:cstheme="majorEastAsia"/>
                <w:color w:val="auto"/>
                <w:kern w:val="0"/>
                <w:sz w:val="21"/>
                <w:szCs w:val="21"/>
                <w:highlight w:val="none"/>
                <w:lang w:val="en-US" w:eastAsia="zh-CN" w:bidi="ar-SA"/>
              </w:rPr>
              <w:t>各潜在供应商</w:t>
            </w:r>
            <w:r>
              <w:rPr>
                <w:rFonts w:hint="default" w:asciiTheme="majorEastAsia" w:hAnsiTheme="majorEastAsia" w:eastAsiaTheme="majorEastAsia" w:cstheme="majorEastAsia"/>
                <w:color w:val="auto"/>
                <w:kern w:val="0"/>
                <w:sz w:val="21"/>
                <w:szCs w:val="21"/>
                <w:highlight w:val="none"/>
                <w:lang w:val="en-US" w:eastAsia="zh-CN" w:bidi="ar-SA"/>
              </w:rPr>
              <w:t>应协调组织技术专家小组进行会诊解决，以确保系统的正常运行</w:t>
            </w:r>
            <w:r>
              <w:rPr>
                <w:rFonts w:hint="eastAsia" w:asciiTheme="majorEastAsia" w:hAnsiTheme="majorEastAsia" w:eastAsiaTheme="majorEastAsia" w:cstheme="majorEastAsia"/>
                <w:color w:val="auto"/>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tcBorders>
              <w:top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1534" w:type="dxa"/>
            <w:tcBorders>
              <w:top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违约责任与解决争议的方法</w:t>
            </w:r>
          </w:p>
        </w:tc>
        <w:tc>
          <w:tcPr>
            <w:tcW w:w="7230" w:type="dxa"/>
            <w:tcBorders>
              <w:top w:val="single" w:color="auto" w:sz="4" w:space="0"/>
            </w:tcBorders>
            <w:vAlign w:val="center"/>
          </w:tcPr>
          <w:p>
            <w:pPr>
              <w:numPr>
                <w:ilvl w:val="0"/>
                <w:numId w:val="4"/>
              </w:num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医院与各潜在供应商双方必须遵守采购合同并执行合同中的各项约定，保证采购合同的正常履行。若一方违约，应向对方支付采购合同总金额的20%的违约金，但违约金总额最高不超过合同总金额的30%。违约金不足以弥补对方损失的，还应就不足弥补部分进行赔偿。</w:t>
            </w:r>
          </w:p>
          <w:p>
            <w:pPr>
              <w:numPr>
                <w:ilvl w:val="0"/>
                <w:numId w:val="4"/>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如因各潜在供应商工作人员在履行职务过程中的疏忽、失职、过错等故意或者过失原因给医院造成损失或侵害，包括但不限于医院本身的财产损失、由此而导致的医院对任何第三方的法律责任等，各潜在供应商对此均应承担全部的赔偿责任。</w:t>
            </w:r>
          </w:p>
          <w:p>
            <w:pPr>
              <w:numPr>
                <w:ilvl w:val="0"/>
                <w:numId w:val="4"/>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服务期内，各潜在供应商若未按采购合同约定履行相应服务的，医院有权解除采购合同，各潜在供应商应向医院支付合同金额20%的违约金。</w:t>
            </w:r>
          </w:p>
          <w:p>
            <w:pPr>
              <w:numPr>
                <w:ilvl w:val="0"/>
                <w:numId w:val="4"/>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医院下达限期整改通知书要求各潜在供应商限期整改，而各潜在供应商拒不整改或经两次整改仍达不到医院要求或采购合同约定标准的，医院有权单方解除采购合同，并要求各潜在供应商支付合同总金额20%的违约金，违约金不能弥补医院损失的，各潜在供应商还应就不能弥补部分进行赔偿。</w:t>
            </w:r>
          </w:p>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1.各潜在供应商未按照合同约定履行义务，自签署</w:t>
            </w:r>
            <w:r>
              <w:rPr>
                <w:rFonts w:hint="eastAsia" w:ascii="宋体" w:hAnsi="宋体" w:eastAsia="宋体" w:cs="宋体"/>
                <w:b/>
                <w:bCs/>
                <w:color w:val="auto"/>
                <w:kern w:val="2"/>
                <w:sz w:val="21"/>
                <w:szCs w:val="21"/>
                <w:highlight w:val="none"/>
                <w:lang w:val="en-US" w:eastAsia="zh-CN" w:bidi="ar-SA"/>
              </w:rPr>
              <w:t>《入场确认单》</w:t>
            </w:r>
            <w:r>
              <w:rPr>
                <w:rFonts w:hint="eastAsia" w:ascii="宋体" w:hAnsi="宋体" w:eastAsia="宋体" w:cs="宋体"/>
                <w:color w:val="auto"/>
                <w:kern w:val="2"/>
                <w:sz w:val="21"/>
                <w:szCs w:val="21"/>
                <w:highlight w:val="none"/>
                <w:lang w:val="en-US" w:eastAsia="zh-CN" w:bidi="ar-SA"/>
              </w:rPr>
              <w:t>起5日内未派遣驻场人员的，每延迟一天，则按合同总金额的1%作为违约金支付给医院，逾期超过30个日历日，医院有权解除合同，各潜在供应商应当向医院支付累计的违约金，同时应向医院全额退回医院已支付合同款项。因各潜在供应商逾期履行合同义务，医院寻找第三人完成本项目全部或部分的，由各潜在供应商赔偿医院的损失及承担违约责任。2.各潜在供应商应保证所提供的服务完全符合中标文件要求。否则，医院有权解除合同，各潜在供应商应退回已付合同价款并按合同总价的20%支付违约金，如违约金不足以弥补医院因此遭受的损失（包括行政处罚等）的，应当予以全额补足。如各潜在供应商拒不支付赔偿款的，医院有权从应付费用中扣除。3.医院有权在该项目协议约定范围内享有各潜在供应商提供的合法合规的相关服务。医院有权对合同规定范围内各潜在供应商的服务行为进行监督和检查，拥有监管权。有权定期核对各潜在供应商提供的服务质量。对医院认为不合理的部分有权下达整改通知书，并要求各潜在供应商限期整改。4.因各潜在供应商违约行为给医院造成损失的，违约金不足以弥补医院损失的，医院有权向各潜在供应商主张全部损失，包含但不限于：鉴定费、公证费、律师费、诉讼费、保全费、保全担保费等实现债权的全部费用，以上费用金额以开具的合格发票金额为准。5.若各潜在供应商开具的发票为虚假发票，或提供由他人开具的与实</w:t>
            </w:r>
          </w:p>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际经营业务不符的发票。因此引起发票无法认证、认证不符或其他任何因发票瑕疵导致发票作废等情形，由各潜在供应商承担相关责任。6.保密要求：各潜在供应商在服务过程中从医院获知的技术秘密、医院信息、临床科室信息等一切信息均负有保密责任。未经医院事先书面授权，各潜在供应商不得以任何方式向其它任何组织或个人泄露、转让、交换、赠与该信息或与任何其他组织或个人共同使用该信息。因各潜在供应商违反规定造成信息泄漏且给医院造成损失的，医院有权终止合同，不再支付后续款项，且医院有权追究其法律责任。7.各潜在供应商必须要求工作人员严格按照医院现场管理要求和工作纪律行事，对于各潜在供应商人员因工作原因在医院引起的各种工伤、安全事故，医院免于一切责任，由各潜在供应商承担全部责任。8.如因各潜在供应商工作人员在履行职务过程中的疏忽、失职、过错等故意或者过失原因给医院造成损失或侵害的，包括但不限于医院本身的财产损失、由此导致的医院对任何第三方的法律责任等，各潜在供应商对此均应承担全部的赔偿责任。9.各潜在供应商内部问题导致医院受到互联网领域（包括但不限于抖音、小红书、今日头条、微信公众号、快手、微博、问政四川）负面影响，应在2小时内控制负面影响并视负面影响的严重程度给予经济处罚5000元-27万元，且医院有权解除合同，并追究各潜在供应商相关责任。10.各潜在供应商在参与本项目采购过程中，因自身围标、串标或提供虚假材料（承诺）谋取中标等行为被质疑成立、投诉成立或被相关上级部门通报处罚的，医院有权解除合同，并追究各潜在供应商相关责任。解决合同纠纷的方式:合同在履行中发生争议，医院与各潜在供应商双方协商解决，协商不成的，任何一方可向医院所在地的人民法院提起诉讼解决。</w:t>
            </w:r>
          </w:p>
          <w:p>
            <w:pPr>
              <w:rPr>
                <w:rFonts w:hint="default"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1534" w:type="dxa"/>
            <w:vAlign w:val="center"/>
          </w:tcPr>
          <w:p>
            <w:pPr>
              <w:rPr>
                <w:rFonts w:ascii="宋体" w:hAnsi="宋体" w:eastAsia="宋体" w:cs="宋体"/>
                <w:color w:val="auto"/>
                <w:szCs w:val="21"/>
                <w:highlight w:val="none"/>
              </w:rPr>
            </w:pPr>
            <w:r>
              <w:rPr>
                <w:rFonts w:ascii="宋体" w:hAnsi="宋体" w:eastAsia="宋体" w:cs="宋体"/>
                <w:color w:val="auto"/>
                <w:szCs w:val="21"/>
                <w:highlight w:val="none"/>
                <w:lang w:val="en-US" w:eastAsia="zh-CN"/>
              </w:rPr>
              <w:t>维护和技术培训</w:t>
            </w:r>
          </w:p>
        </w:tc>
        <w:tc>
          <w:tcPr>
            <w:tcW w:w="7230" w:type="dxa"/>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应负责提供培训计划，培训资料，</w:t>
            </w:r>
            <w:bookmarkStart w:id="25" w:name="OLE_LINK9"/>
            <w:r>
              <w:rPr>
                <w:rFonts w:ascii="宋体" w:hAnsi="宋体" w:eastAsia="宋体" w:cs="宋体"/>
                <w:color w:val="auto"/>
                <w:szCs w:val="21"/>
                <w:highlight w:val="none"/>
              </w:rPr>
              <w:t>一年不少于</w:t>
            </w:r>
            <w:bookmarkEnd w:id="25"/>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ascii="宋体" w:hAnsi="宋体" w:eastAsia="宋体" w:cs="宋体"/>
                <w:color w:val="auto"/>
                <w:szCs w:val="21"/>
                <w:highlight w:val="none"/>
              </w:rPr>
              <w:t>】次的培训。主要包括以下培训内容：</w:t>
            </w:r>
          </w:p>
          <w:p>
            <w:pPr>
              <w:rPr>
                <w:rFonts w:ascii="宋体" w:hAnsi="宋体" w:eastAsia="宋体" w:cs="宋体"/>
                <w:color w:val="auto"/>
                <w:szCs w:val="21"/>
                <w:highlight w:val="none"/>
              </w:rPr>
            </w:pPr>
            <w:r>
              <w:rPr>
                <w:rFonts w:ascii="宋体" w:hAnsi="宋体" w:eastAsia="宋体" w:cs="宋体"/>
                <w:color w:val="auto"/>
                <w:szCs w:val="21"/>
                <w:highlight w:val="none"/>
              </w:rPr>
              <w:t>a.现场培训。</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应对</w:t>
            </w:r>
            <w:r>
              <w:rPr>
                <w:rFonts w:hint="eastAsia" w:ascii="宋体" w:hAnsi="宋体" w:eastAsia="宋体" w:cs="宋体"/>
                <w:color w:val="auto"/>
                <w:szCs w:val="21"/>
                <w:highlight w:val="none"/>
                <w:lang w:eastAsia="zh-CN"/>
              </w:rPr>
              <w:t>医院</w:t>
            </w:r>
            <w:r>
              <w:rPr>
                <w:rFonts w:ascii="宋体" w:hAnsi="宋体" w:eastAsia="宋体" w:cs="宋体"/>
                <w:color w:val="auto"/>
                <w:szCs w:val="21"/>
                <w:highlight w:val="none"/>
              </w:rPr>
              <w:t>指定的管理及运维人员提供集中的现场管理培训，培训讲授各种软件产品的安装、操作和应用软件系统的管理，使</w:t>
            </w:r>
            <w:r>
              <w:rPr>
                <w:rFonts w:hint="eastAsia" w:ascii="宋体" w:hAnsi="宋体" w:eastAsia="宋体" w:cs="宋体"/>
                <w:color w:val="auto"/>
                <w:szCs w:val="21"/>
                <w:highlight w:val="none"/>
                <w:lang w:eastAsia="zh-CN"/>
              </w:rPr>
              <w:t>医院</w:t>
            </w:r>
            <w:r>
              <w:rPr>
                <w:rFonts w:ascii="宋体" w:hAnsi="宋体" w:eastAsia="宋体" w:cs="宋体"/>
                <w:color w:val="auto"/>
                <w:szCs w:val="21"/>
                <w:highlight w:val="none"/>
              </w:rPr>
              <w:t>的系统管理人员能够熟练地对系统进行维护、维修、故障诊断和管理。系统安装调试完毕后，</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应就系统软件及硬件的常规系统维护、系统设置、系统操作等对</w:t>
            </w:r>
            <w:r>
              <w:rPr>
                <w:rFonts w:hint="eastAsia" w:ascii="宋体" w:hAnsi="宋体" w:eastAsia="宋体" w:cs="宋体"/>
                <w:color w:val="auto"/>
                <w:szCs w:val="21"/>
                <w:highlight w:val="none"/>
                <w:lang w:eastAsia="zh-CN"/>
              </w:rPr>
              <w:t>医院</w:t>
            </w:r>
            <w:r>
              <w:rPr>
                <w:rFonts w:ascii="宋体" w:hAnsi="宋体" w:eastAsia="宋体" w:cs="宋体"/>
                <w:color w:val="auto"/>
                <w:szCs w:val="21"/>
                <w:highlight w:val="none"/>
              </w:rPr>
              <w:t>操作及维修技术人员进行培训，实现</w:t>
            </w:r>
            <w:r>
              <w:rPr>
                <w:rFonts w:hint="eastAsia" w:ascii="宋体" w:hAnsi="宋体" w:eastAsia="宋体" w:cs="宋体"/>
                <w:color w:val="auto"/>
                <w:szCs w:val="21"/>
                <w:highlight w:val="none"/>
                <w:lang w:eastAsia="zh-CN"/>
              </w:rPr>
              <w:t>医院</w:t>
            </w:r>
            <w:r>
              <w:rPr>
                <w:rFonts w:ascii="宋体" w:hAnsi="宋体" w:eastAsia="宋体" w:cs="宋体"/>
                <w:color w:val="auto"/>
                <w:szCs w:val="21"/>
                <w:highlight w:val="none"/>
              </w:rPr>
              <w:t>的相关人员能独立操作，实现维护人员能完成一般常见故障的维修工作。</w:t>
            </w:r>
          </w:p>
          <w:p>
            <w:pPr>
              <w:rPr>
                <w:rFonts w:ascii="宋体" w:hAnsi="宋体" w:eastAsia="宋体" w:cs="宋体"/>
                <w:color w:val="auto"/>
                <w:szCs w:val="21"/>
                <w:highlight w:val="none"/>
              </w:rPr>
            </w:pPr>
            <w:r>
              <w:rPr>
                <w:rFonts w:ascii="宋体" w:hAnsi="宋体" w:eastAsia="宋体" w:cs="宋体"/>
                <w:color w:val="auto"/>
                <w:szCs w:val="21"/>
                <w:highlight w:val="none"/>
              </w:rPr>
              <w:t>b.技术培训。</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应对全体项目使用人员进行项目使用培训,培训内容包括：常规操作、异常处理、信息安全、应用系统前沿技术知识技能培训。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43" w:type="dxa"/>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153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知识产权归属和处理方式</w:t>
            </w:r>
          </w:p>
        </w:tc>
        <w:tc>
          <w:tcPr>
            <w:tcW w:w="7230" w:type="dxa"/>
            <w:vAlign w:val="center"/>
          </w:tcPr>
          <w:p>
            <w:pPr>
              <w:rPr>
                <w:rFonts w:hint="eastAsia"/>
                <w:color w:val="auto"/>
                <w:highlight w:val="none"/>
              </w:rPr>
            </w:pPr>
            <w:r>
              <w:rPr>
                <w:rFonts w:hint="eastAsia"/>
                <w:color w:val="auto"/>
                <w:highlight w:val="none"/>
              </w:rPr>
              <w:t>①</w:t>
            </w:r>
            <w:r>
              <w:rPr>
                <w:rFonts w:hint="eastAsia"/>
                <w:color w:val="auto"/>
                <w:highlight w:val="none"/>
                <w:lang w:eastAsia="zh-CN"/>
              </w:rPr>
              <w:t>各潜在供应商</w:t>
            </w:r>
            <w:r>
              <w:rPr>
                <w:rFonts w:hint="eastAsia"/>
                <w:color w:val="auto"/>
                <w:highlight w:val="none"/>
              </w:rPr>
              <w:t>应保证在本项目使用（包括部分使用）的任何产品和服务时，不会产生因第三方提出侵犯其专利权、商标权或其它知识产权而引起的法律和经济纠纷，如因专利权、商标权或其它知识产权而引起法律和经济纠纷，由</w:t>
            </w:r>
            <w:r>
              <w:rPr>
                <w:rFonts w:hint="eastAsia"/>
                <w:color w:val="auto"/>
                <w:highlight w:val="none"/>
                <w:lang w:eastAsia="zh-CN"/>
              </w:rPr>
              <w:t>各潜在供应商</w:t>
            </w:r>
            <w:r>
              <w:rPr>
                <w:rFonts w:hint="eastAsia"/>
                <w:color w:val="auto"/>
                <w:highlight w:val="none"/>
              </w:rPr>
              <w:t>承担所有相关责任</w:t>
            </w:r>
            <w:r>
              <w:rPr>
                <w:rFonts w:hint="eastAsia"/>
                <w:color w:val="auto"/>
                <w:highlight w:val="none"/>
                <w:lang w:val="en-US" w:eastAsia="zh-CN"/>
              </w:rPr>
              <w:t>和费用</w:t>
            </w:r>
            <w:r>
              <w:rPr>
                <w:rFonts w:hint="eastAsia"/>
                <w:color w:val="auto"/>
                <w:highlight w:val="none"/>
              </w:rPr>
              <w:t>。</w:t>
            </w:r>
          </w:p>
          <w:p>
            <w:pPr>
              <w:rPr>
                <w:rFonts w:hint="eastAsia"/>
                <w:color w:val="auto"/>
                <w:highlight w:val="none"/>
              </w:rPr>
            </w:pPr>
            <w:r>
              <w:rPr>
                <w:rFonts w:hint="eastAsia"/>
                <w:color w:val="auto"/>
                <w:highlight w:val="none"/>
              </w:rPr>
              <w:t>②如采用</w:t>
            </w:r>
            <w:r>
              <w:rPr>
                <w:rFonts w:hint="eastAsia"/>
                <w:color w:val="auto"/>
                <w:highlight w:val="none"/>
                <w:lang w:eastAsia="zh-CN"/>
              </w:rPr>
              <w:t>各潜在供应商</w:t>
            </w:r>
            <w:r>
              <w:rPr>
                <w:rFonts w:hint="eastAsia"/>
                <w:color w:val="auto"/>
                <w:highlight w:val="none"/>
              </w:rPr>
              <w:t>所不拥有的知识产权，则在投标报价中必须包括合法获取该知识产权的相关费用。</w:t>
            </w:r>
          </w:p>
          <w:p>
            <w:pPr>
              <w:rPr>
                <w:rFonts w:ascii="宋体" w:hAnsi="宋体" w:eastAsia="宋体" w:cs="宋体"/>
                <w:color w:val="auto"/>
                <w:szCs w:val="21"/>
                <w:highlight w:val="none"/>
              </w:rPr>
            </w:pPr>
            <w:r>
              <w:rPr>
                <w:rFonts w:hint="eastAsia"/>
                <w:color w:val="auto"/>
                <w:highlight w:val="none"/>
              </w:rPr>
              <w:t>③</w:t>
            </w:r>
            <w:r>
              <w:rPr>
                <w:rFonts w:hint="eastAsia"/>
                <w:color w:val="auto"/>
                <w:highlight w:val="none"/>
                <w:lang w:eastAsia="zh-CN"/>
              </w:rPr>
              <w:t>医院</w:t>
            </w:r>
            <w:r>
              <w:rPr>
                <w:rFonts w:hint="eastAsia"/>
                <w:color w:val="auto"/>
                <w:highlight w:val="none"/>
              </w:rPr>
              <w:t>享有本项目实施过程中产生的相关知识成果及知识产权的永久使用权。合同终止或中止或合同出现争议期间，</w:t>
            </w:r>
            <w:r>
              <w:rPr>
                <w:rFonts w:hint="eastAsia"/>
                <w:color w:val="auto"/>
                <w:highlight w:val="none"/>
                <w:lang w:eastAsia="zh-CN"/>
              </w:rPr>
              <w:t>各潜在供应商</w:t>
            </w:r>
            <w:r>
              <w:rPr>
                <w:rFonts w:hint="eastAsia"/>
                <w:color w:val="auto"/>
                <w:highlight w:val="none"/>
              </w:rPr>
              <w:t>不得设置任何软件登陆密码等方式，限制</w:t>
            </w:r>
            <w:r>
              <w:rPr>
                <w:rFonts w:hint="eastAsia"/>
                <w:color w:val="auto"/>
                <w:highlight w:val="none"/>
                <w:lang w:eastAsia="zh-CN"/>
              </w:rPr>
              <w:t>医院</w:t>
            </w:r>
            <w:r>
              <w:rPr>
                <w:rFonts w:hint="eastAsia"/>
                <w:color w:val="auto"/>
                <w:highlight w:val="none"/>
              </w:rPr>
              <w:t>正常使用。因</w:t>
            </w:r>
            <w:r>
              <w:rPr>
                <w:rFonts w:hint="eastAsia"/>
                <w:color w:val="auto"/>
                <w:highlight w:val="none"/>
                <w:lang w:eastAsia="zh-CN"/>
              </w:rPr>
              <w:t>各潜在供应商</w:t>
            </w:r>
            <w:r>
              <w:rPr>
                <w:rFonts w:hint="eastAsia"/>
                <w:color w:val="auto"/>
                <w:highlight w:val="none"/>
              </w:rPr>
              <w:t>单方面限制导致</w:t>
            </w:r>
            <w:r>
              <w:rPr>
                <w:rFonts w:hint="eastAsia"/>
                <w:color w:val="auto"/>
                <w:highlight w:val="none"/>
                <w:lang w:eastAsia="zh-CN"/>
              </w:rPr>
              <w:t>医院</w:t>
            </w:r>
            <w:r>
              <w:rPr>
                <w:rFonts w:hint="eastAsia"/>
                <w:color w:val="auto"/>
                <w:highlight w:val="none"/>
              </w:rPr>
              <w:t>无法使用软件造成</w:t>
            </w:r>
            <w:r>
              <w:rPr>
                <w:rFonts w:hint="eastAsia"/>
                <w:color w:val="auto"/>
                <w:highlight w:val="none"/>
                <w:lang w:eastAsia="zh-CN"/>
              </w:rPr>
              <w:t>各潜在供应商</w:t>
            </w:r>
            <w:r>
              <w:rPr>
                <w:rFonts w:hint="eastAsia"/>
                <w:color w:val="auto"/>
                <w:highlight w:val="none"/>
              </w:rPr>
              <w:t>的损失，均由</w:t>
            </w:r>
            <w:r>
              <w:rPr>
                <w:rFonts w:hint="eastAsia"/>
                <w:color w:val="auto"/>
                <w:highlight w:val="none"/>
                <w:lang w:eastAsia="zh-CN"/>
              </w:rPr>
              <w:t>各潜在供应商</w:t>
            </w:r>
            <w:r>
              <w:rPr>
                <w:rFonts w:hint="eastAsia"/>
                <w:color w:val="auto"/>
                <w:highlight w:val="none"/>
              </w:rPr>
              <w:t>负责及承担。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153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保密要求</w:t>
            </w:r>
          </w:p>
        </w:tc>
        <w:tc>
          <w:tcPr>
            <w:tcW w:w="7230" w:type="dxa"/>
            <w:vAlign w:val="center"/>
          </w:tcPr>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应自觉维护</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的利益，严格遵守保密等相关法律法规和</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规定，不得向任何单位和个人泄露</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的任何资料信息，不得利用所掌握的信息数据牟取私利，</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须加强保密管理，对</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的参与项目的工作人员开展背景审查、签署保密协议等措施，确保</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参与人员不向第三方公开或披露任何保密信息，不论</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披露的信息采用直接、间接还是口头或书面等形式，只要涉及到</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未曾发表、公开或公众的信息，该信息即在的保密范围。</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（1）技术信息：包括涉及</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信息化建设中的技术信息，包括软件技术、数据、管理文件等；</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（2）人事信息：包括涉及</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的人事档案、薪酬、及考核等人力资源管理信息；</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运行信息：包括涉及</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业务运行的各种信息，</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经营方向、经营决策、定价政策以及内部掌握的合同、协议、项目方案等；</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（4）财务信息：包括涉及</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的各项财务报表、成本及预算报告、员工工资等；</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（5）患者信息：包括涉及</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门诊、住院患者的相关诊疗信息，如患者基本信息、诊疗计划、病历信息、费用信息、处方等；</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依照法律、法规或相关协议规定，对外承担保密义务的其他事项。</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2.未经</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书面批准，</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不得以直接或间接方式向第三方透露</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相关保密信息，包括本项目的相关文件、技术方案、实施计划等相关信息。</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不得将上述信息进行买卖，谋取不正当利益。</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不得为药品生产、经营企业以及其他人员提供任何形式的</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药品、器械、耗材等使用信息，或各类商业目的的“统方”，不利用工作之便或个人关系为医药营销人员统方提供信息数据便利。</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4.对于</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向</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提供的系统登录用户名和密码，</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仅用于维护使用，不得擅自做其他用途或泄露给第三方。</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不得利用</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提供的电脑和网络系统，私自连接外网，发送垃圾邮件、攻击网络和计算机系统，不得私自使用外来移动硬盘、U盘、光盘等移动存储介质，防止计算机病毒传播，危害网络信息安全。</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不得在运行的信息系统上私自开发、挂靠与业务工作无关的软件或系统，不得发布通知或广告。</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有违反保密的情形，无论故意与过失，应当立即停止侵害，并在第一时间采取一切必要措施防止保密信息的扩散，尽最大可能消除影响，并及时通知</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违反保密的规定，应承担由此产生的全部责任，至少包括律师代理费、诉讼费、差旅费、材料费、调查费、评估费、鉴定费等一切费用。同时</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应向</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支付违约金，违约金的具体数额由甲乙双方协商确定。违约金数额并不影响受损害方向违约方要求损害赔偿。该等赔偿以受损害方实际遭受的损失为限。</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8.合同的变更、解除或无效，不影响本条款的效力，保密有效期一直有效。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153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安全管理要求</w:t>
            </w:r>
          </w:p>
        </w:tc>
        <w:tc>
          <w:tcPr>
            <w:tcW w:w="7230" w:type="dxa"/>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必须遵守有关安全生产的法律、法规及</w:t>
            </w:r>
            <w:r>
              <w:rPr>
                <w:rFonts w:hint="eastAsia" w:ascii="宋体" w:hAnsi="宋体" w:eastAsia="宋体" w:cs="宋体"/>
                <w:color w:val="auto"/>
                <w:szCs w:val="21"/>
                <w:highlight w:val="none"/>
                <w:lang w:eastAsia="zh-CN"/>
              </w:rPr>
              <w:t>医院</w:t>
            </w:r>
            <w:r>
              <w:rPr>
                <w:rFonts w:ascii="宋体" w:hAnsi="宋体" w:eastAsia="宋体" w:cs="宋体"/>
                <w:color w:val="auto"/>
                <w:szCs w:val="21"/>
                <w:highlight w:val="none"/>
              </w:rPr>
              <w:t>相关安全生产管理规定，加强安全生产管理，</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为该项目的安全责任人，建立、健全安全生产责任制度，完善安全生产条件，确保安全生产。</w:t>
            </w:r>
          </w:p>
          <w:p>
            <w:pP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在项目供货、安装、实施、使用、维护服务、售后服务期间，</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应严格遵守操作规程以及</w:t>
            </w:r>
            <w:r>
              <w:rPr>
                <w:rFonts w:hint="eastAsia" w:ascii="宋体" w:hAnsi="宋体" w:eastAsia="宋体" w:cs="宋体"/>
                <w:color w:val="auto"/>
                <w:szCs w:val="21"/>
                <w:highlight w:val="none"/>
                <w:lang w:eastAsia="zh-CN"/>
              </w:rPr>
              <w:t>医院</w:t>
            </w:r>
            <w:r>
              <w:rPr>
                <w:rFonts w:ascii="宋体" w:hAnsi="宋体" w:eastAsia="宋体" w:cs="宋体"/>
                <w:color w:val="auto"/>
                <w:szCs w:val="21"/>
                <w:highlight w:val="none"/>
              </w:rPr>
              <w:t>相应的规章制度或规定，</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所发生的和因</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引起的一切安全事故或劳动纠纷等，其责任均由</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单方承担，与</w:t>
            </w:r>
            <w:r>
              <w:rPr>
                <w:rFonts w:hint="eastAsia" w:ascii="宋体" w:hAnsi="宋体" w:eastAsia="宋体" w:cs="宋体"/>
                <w:color w:val="auto"/>
                <w:szCs w:val="21"/>
                <w:highlight w:val="none"/>
                <w:lang w:eastAsia="zh-CN"/>
              </w:rPr>
              <w:t>医院</w:t>
            </w:r>
            <w:r>
              <w:rPr>
                <w:rFonts w:ascii="宋体" w:hAnsi="宋体" w:eastAsia="宋体" w:cs="宋体"/>
                <w:color w:val="auto"/>
                <w:szCs w:val="21"/>
                <w:highlight w:val="none"/>
              </w:rPr>
              <w:t>无关。且不得因此影响项目进度。</w:t>
            </w:r>
          </w:p>
          <w:p>
            <w:pP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必须遵守有关网络安全法律法规及</w:t>
            </w:r>
            <w:r>
              <w:rPr>
                <w:rFonts w:hint="eastAsia" w:ascii="宋体" w:hAnsi="宋体" w:eastAsia="宋体" w:cs="宋体"/>
                <w:color w:val="auto"/>
                <w:szCs w:val="21"/>
                <w:highlight w:val="none"/>
                <w:lang w:eastAsia="zh-CN"/>
              </w:rPr>
              <w:t>医院</w:t>
            </w:r>
            <w:r>
              <w:rPr>
                <w:rFonts w:ascii="宋体" w:hAnsi="宋体" w:eastAsia="宋体" w:cs="宋体"/>
                <w:color w:val="auto"/>
                <w:szCs w:val="21"/>
                <w:highlight w:val="none"/>
              </w:rPr>
              <w:t>相关网络安全管理规定，因</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过失导致网络安全事故发生，</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应承担全部责任。</w:t>
            </w:r>
          </w:p>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应定期对系统进行安全漏洞扫描和评估，及时修复安全漏洞，确保系统符合国家网络安全等级保护第三级的要求</w:t>
            </w:r>
            <w:r>
              <w:rPr>
                <w:rFonts w:hint="eastAsia" w:ascii="宋体" w:hAnsi="宋体" w:eastAsia="宋体" w:cs="宋体"/>
                <w:color w:val="auto"/>
                <w:szCs w:val="21"/>
                <w:highlight w:val="none"/>
                <w:lang w:eastAsia="zh-CN"/>
              </w:rPr>
              <w:t>。</w:t>
            </w:r>
          </w:p>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ascii="宋体" w:hAnsi="宋体" w:eastAsia="宋体" w:cs="宋体"/>
                <w:color w:val="auto"/>
                <w:szCs w:val="21"/>
                <w:highlight w:val="none"/>
              </w:rPr>
              <w:t>若因</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原因导致系统发生安全事故，</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应在1小时内通知</w:t>
            </w:r>
            <w:r>
              <w:rPr>
                <w:rFonts w:hint="eastAsia" w:ascii="宋体" w:hAnsi="宋体" w:eastAsia="宋体" w:cs="宋体"/>
                <w:color w:val="auto"/>
                <w:szCs w:val="21"/>
                <w:highlight w:val="none"/>
                <w:lang w:eastAsia="zh-CN"/>
              </w:rPr>
              <w:t>医院</w:t>
            </w:r>
            <w:r>
              <w:rPr>
                <w:rFonts w:ascii="宋体" w:hAnsi="宋体" w:eastAsia="宋体" w:cs="宋体"/>
                <w:color w:val="auto"/>
                <w:szCs w:val="21"/>
                <w:highlight w:val="none"/>
              </w:rPr>
              <w:t>，并在24小时内提交事故报告和解决方案，同时承担由此给</w:t>
            </w:r>
            <w:r>
              <w:rPr>
                <w:rFonts w:hint="eastAsia" w:ascii="宋体" w:hAnsi="宋体" w:eastAsia="宋体" w:cs="宋体"/>
                <w:color w:val="auto"/>
                <w:szCs w:val="21"/>
                <w:highlight w:val="none"/>
                <w:lang w:eastAsia="zh-CN"/>
              </w:rPr>
              <w:t>医院</w:t>
            </w:r>
            <w:r>
              <w:rPr>
                <w:rFonts w:ascii="宋体" w:hAnsi="宋体" w:eastAsia="宋体" w:cs="宋体"/>
                <w:color w:val="auto"/>
                <w:szCs w:val="21"/>
                <w:highlight w:val="none"/>
              </w:rPr>
              <w:t>造成的全部损失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1534" w:type="dxa"/>
            <w:vAlign w:val="center"/>
          </w:tcPr>
          <w:p>
            <w:pPr>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其他</w:t>
            </w:r>
          </w:p>
        </w:tc>
        <w:tc>
          <w:tcPr>
            <w:tcW w:w="7230" w:type="dxa"/>
            <w:vAlign w:val="center"/>
          </w:tcPr>
          <w:p>
            <w:pPr>
              <w:pStyle w:val="25"/>
              <w:widowControl w:val="0"/>
              <w:jc w:val="both"/>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1.各潜在供应商</w:t>
            </w:r>
            <w:r>
              <w:rPr>
                <w:rFonts w:hint="default" w:ascii="宋体" w:hAnsi="宋体" w:eastAsia="宋体" w:cs="宋体"/>
                <w:color w:val="auto"/>
                <w:kern w:val="0"/>
                <w:sz w:val="21"/>
                <w:szCs w:val="21"/>
                <w:highlight w:val="none"/>
                <w:lang w:val="en-US" w:eastAsia="zh-CN" w:bidi="ar-SA"/>
              </w:rPr>
              <w:t>需单独提供承诺函，承诺在无法为</w:t>
            </w:r>
            <w:r>
              <w:rPr>
                <w:rFonts w:hint="eastAsia" w:ascii="宋体" w:hAnsi="宋体" w:eastAsia="宋体" w:cs="宋体"/>
                <w:color w:val="auto"/>
                <w:kern w:val="0"/>
                <w:sz w:val="21"/>
                <w:szCs w:val="21"/>
                <w:highlight w:val="none"/>
                <w:lang w:val="en-US" w:eastAsia="zh-CN" w:bidi="ar-SA"/>
              </w:rPr>
              <w:t>医院</w:t>
            </w:r>
            <w:r>
              <w:rPr>
                <w:rFonts w:hint="default" w:ascii="宋体" w:hAnsi="宋体" w:eastAsia="宋体" w:cs="宋体"/>
                <w:color w:val="auto"/>
                <w:kern w:val="0"/>
                <w:sz w:val="21"/>
                <w:szCs w:val="21"/>
                <w:highlight w:val="none"/>
                <w:lang w:val="en-US" w:eastAsia="zh-CN" w:bidi="ar-SA"/>
              </w:rPr>
              <w:t>提供维护服务时或</w:t>
            </w:r>
            <w:r>
              <w:rPr>
                <w:rFonts w:hint="eastAsia" w:ascii="宋体" w:hAnsi="宋体" w:eastAsia="宋体" w:cs="宋体"/>
                <w:color w:val="auto"/>
                <w:kern w:val="0"/>
                <w:sz w:val="21"/>
                <w:szCs w:val="21"/>
                <w:highlight w:val="none"/>
                <w:lang w:val="en-US" w:eastAsia="zh-CN" w:bidi="ar-SA"/>
              </w:rPr>
              <w:t>各潜在供应商</w:t>
            </w:r>
            <w:r>
              <w:rPr>
                <w:rFonts w:hint="default" w:ascii="宋体" w:hAnsi="宋体" w:eastAsia="宋体" w:cs="宋体"/>
                <w:color w:val="auto"/>
                <w:kern w:val="0"/>
                <w:sz w:val="21"/>
                <w:szCs w:val="21"/>
                <w:highlight w:val="none"/>
                <w:lang w:val="en-US" w:eastAsia="zh-CN" w:bidi="ar-SA"/>
              </w:rPr>
              <w:t>倒闭，需将</w:t>
            </w:r>
            <w:r>
              <w:rPr>
                <w:rFonts w:hint="eastAsia" w:ascii="宋体" w:hAnsi="宋体" w:eastAsia="宋体" w:cs="宋体"/>
                <w:color w:val="auto"/>
                <w:kern w:val="0"/>
                <w:sz w:val="21"/>
                <w:szCs w:val="21"/>
                <w:highlight w:val="none"/>
                <w:lang w:val="en-US" w:eastAsia="zh-CN" w:bidi="ar-SA"/>
              </w:rPr>
              <w:t>维护期间产生的</w:t>
            </w:r>
            <w:r>
              <w:rPr>
                <w:rFonts w:hint="default" w:ascii="宋体" w:hAnsi="宋体" w:eastAsia="宋体" w:cs="宋体"/>
                <w:color w:val="auto"/>
                <w:kern w:val="0"/>
                <w:sz w:val="21"/>
                <w:szCs w:val="21"/>
                <w:highlight w:val="none"/>
                <w:lang w:val="en-US" w:eastAsia="zh-CN" w:bidi="ar-SA"/>
              </w:rPr>
              <w:t>源代码提交给</w:t>
            </w:r>
            <w:r>
              <w:rPr>
                <w:rFonts w:hint="eastAsia" w:ascii="宋体" w:hAnsi="宋体" w:eastAsia="宋体" w:cs="宋体"/>
                <w:color w:val="auto"/>
                <w:kern w:val="0"/>
                <w:sz w:val="21"/>
                <w:szCs w:val="21"/>
                <w:highlight w:val="none"/>
                <w:lang w:val="en-US" w:eastAsia="zh-CN" w:bidi="ar-SA"/>
              </w:rPr>
              <w:t>医院</w:t>
            </w:r>
            <w:r>
              <w:rPr>
                <w:rFonts w:hint="default" w:ascii="宋体" w:hAnsi="宋体" w:eastAsia="宋体" w:cs="宋体"/>
                <w:color w:val="auto"/>
                <w:kern w:val="0"/>
                <w:sz w:val="21"/>
                <w:szCs w:val="21"/>
                <w:highlight w:val="none"/>
                <w:lang w:val="en-US" w:eastAsia="zh-CN" w:bidi="ar-SA"/>
              </w:rPr>
              <w:t>。</w:t>
            </w:r>
          </w:p>
          <w:p>
            <w:pPr>
              <w:keepNext w:val="0"/>
              <w:keepLines w:val="0"/>
              <w:widowControl/>
              <w:suppressLineNumbers w:val="0"/>
              <w:jc w:val="left"/>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2.各潜在供应商</w:t>
            </w:r>
            <w:r>
              <w:rPr>
                <w:rFonts w:hint="default" w:ascii="宋体" w:hAnsi="宋体" w:eastAsia="宋体" w:cs="宋体"/>
                <w:color w:val="auto"/>
                <w:kern w:val="0"/>
                <w:sz w:val="21"/>
                <w:szCs w:val="21"/>
                <w:highlight w:val="none"/>
                <w:lang w:val="en-US" w:eastAsia="zh-CN" w:bidi="ar-SA"/>
              </w:rPr>
              <w:t>在提供维保服务期间和停止维保服务后，均对</w:t>
            </w:r>
            <w:r>
              <w:rPr>
                <w:rFonts w:hint="eastAsia" w:ascii="宋体" w:hAnsi="宋体" w:eastAsia="宋体" w:cs="宋体"/>
                <w:color w:val="auto"/>
                <w:kern w:val="0"/>
                <w:sz w:val="21"/>
                <w:szCs w:val="21"/>
                <w:highlight w:val="none"/>
                <w:lang w:val="en-US" w:eastAsia="zh-CN" w:bidi="ar-SA"/>
              </w:rPr>
              <w:t>医院</w:t>
            </w:r>
            <w:r>
              <w:rPr>
                <w:rFonts w:hint="default" w:ascii="宋体" w:hAnsi="宋体" w:eastAsia="宋体" w:cs="宋体"/>
                <w:color w:val="auto"/>
                <w:kern w:val="0"/>
                <w:sz w:val="21"/>
                <w:szCs w:val="21"/>
                <w:highlight w:val="none"/>
                <w:lang w:val="en-US" w:eastAsia="zh-CN" w:bidi="ar-SA"/>
              </w:rPr>
              <w:t>负有系统和数据保密义务，不得窃取、泄露</w:t>
            </w:r>
            <w:r>
              <w:rPr>
                <w:rFonts w:hint="eastAsia" w:ascii="宋体" w:hAnsi="宋体" w:eastAsia="宋体" w:cs="宋体"/>
                <w:color w:val="auto"/>
                <w:kern w:val="0"/>
                <w:sz w:val="21"/>
                <w:szCs w:val="21"/>
                <w:highlight w:val="none"/>
                <w:lang w:val="en-US" w:eastAsia="zh-CN" w:bidi="ar-SA"/>
              </w:rPr>
              <w:t>医院</w:t>
            </w:r>
            <w:r>
              <w:rPr>
                <w:rFonts w:hint="default" w:ascii="宋体" w:hAnsi="宋体" w:eastAsia="宋体" w:cs="宋体"/>
                <w:color w:val="auto"/>
                <w:kern w:val="0"/>
                <w:sz w:val="21"/>
                <w:szCs w:val="21"/>
                <w:highlight w:val="none"/>
                <w:lang w:val="en-US" w:eastAsia="zh-CN" w:bidi="ar-SA"/>
              </w:rPr>
              <w:t>任何数据和系统技术细节。若泄露</w:t>
            </w:r>
            <w:r>
              <w:rPr>
                <w:rFonts w:hint="eastAsia" w:ascii="宋体" w:hAnsi="宋体" w:eastAsia="宋体" w:cs="宋体"/>
                <w:color w:val="auto"/>
                <w:kern w:val="0"/>
                <w:sz w:val="21"/>
                <w:szCs w:val="21"/>
                <w:highlight w:val="none"/>
                <w:lang w:val="en-US" w:eastAsia="zh-CN" w:bidi="ar-SA"/>
              </w:rPr>
              <w:t>医院</w:t>
            </w:r>
            <w:r>
              <w:rPr>
                <w:rFonts w:hint="default" w:ascii="宋体" w:hAnsi="宋体" w:eastAsia="宋体" w:cs="宋体"/>
                <w:color w:val="auto"/>
                <w:kern w:val="0"/>
                <w:sz w:val="21"/>
                <w:szCs w:val="21"/>
                <w:highlight w:val="none"/>
                <w:lang w:val="en-US" w:eastAsia="zh-CN" w:bidi="ar-SA"/>
              </w:rPr>
              <w:t>任何数据和系统技术细节，一经发现，</w:t>
            </w:r>
            <w:r>
              <w:rPr>
                <w:rFonts w:hint="eastAsia" w:ascii="宋体" w:hAnsi="宋体" w:eastAsia="宋体" w:cs="宋体"/>
                <w:color w:val="auto"/>
                <w:kern w:val="0"/>
                <w:sz w:val="21"/>
                <w:szCs w:val="21"/>
                <w:highlight w:val="none"/>
                <w:lang w:val="en-US" w:eastAsia="zh-CN" w:bidi="ar-SA"/>
              </w:rPr>
              <w:t>各潜在供应商</w:t>
            </w:r>
            <w:r>
              <w:rPr>
                <w:rFonts w:hint="default" w:ascii="宋体" w:hAnsi="宋体" w:eastAsia="宋体" w:cs="宋体"/>
                <w:color w:val="auto"/>
                <w:kern w:val="0"/>
                <w:sz w:val="21"/>
                <w:szCs w:val="21"/>
                <w:highlight w:val="none"/>
                <w:lang w:val="en-US" w:eastAsia="zh-CN" w:bidi="ar-SA"/>
              </w:rPr>
              <w:t>须承担由此产生的一切法律责任。</w:t>
            </w:r>
          </w:p>
          <w:p>
            <w:pPr>
              <w:pStyle w:val="25"/>
              <w:widowControl w:val="0"/>
              <w:jc w:val="both"/>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r>
              <w:rPr>
                <w:rFonts w:hint="default" w:ascii="宋体" w:hAnsi="宋体" w:eastAsia="宋体" w:cs="宋体"/>
                <w:color w:val="auto"/>
                <w:kern w:val="0"/>
                <w:sz w:val="21"/>
                <w:szCs w:val="21"/>
                <w:highlight w:val="none"/>
                <w:lang w:val="en-US" w:eastAsia="zh-CN" w:bidi="ar-SA"/>
              </w:rPr>
              <w:t>在服务执行过程中，若</w:t>
            </w:r>
            <w:r>
              <w:rPr>
                <w:rFonts w:hint="eastAsia" w:ascii="宋体" w:hAnsi="宋体" w:eastAsia="宋体" w:cs="宋体"/>
                <w:color w:val="auto"/>
                <w:kern w:val="0"/>
                <w:sz w:val="21"/>
                <w:szCs w:val="21"/>
                <w:highlight w:val="none"/>
                <w:lang w:val="en-US" w:eastAsia="zh-CN" w:bidi="ar-SA"/>
              </w:rPr>
              <w:t>医院</w:t>
            </w:r>
            <w:r>
              <w:rPr>
                <w:rFonts w:hint="default" w:ascii="宋体" w:hAnsi="宋体" w:eastAsia="宋体" w:cs="宋体"/>
                <w:color w:val="auto"/>
                <w:kern w:val="0"/>
                <w:sz w:val="21"/>
                <w:szCs w:val="21"/>
                <w:highlight w:val="none"/>
                <w:lang w:val="en-US" w:eastAsia="zh-CN" w:bidi="ar-SA"/>
              </w:rPr>
              <w:t>同</w:t>
            </w:r>
            <w:r>
              <w:rPr>
                <w:rFonts w:hint="eastAsia" w:ascii="宋体" w:hAnsi="宋体" w:eastAsia="宋体" w:cs="宋体"/>
                <w:color w:val="auto"/>
                <w:kern w:val="0"/>
                <w:sz w:val="21"/>
                <w:szCs w:val="21"/>
                <w:highlight w:val="none"/>
                <w:lang w:val="en-US" w:eastAsia="zh-CN" w:bidi="ar-SA"/>
              </w:rPr>
              <w:t>各潜在供应商</w:t>
            </w:r>
            <w:r>
              <w:rPr>
                <w:rFonts w:hint="default" w:ascii="宋体" w:hAnsi="宋体" w:eastAsia="宋体" w:cs="宋体"/>
                <w:color w:val="auto"/>
                <w:kern w:val="0"/>
                <w:sz w:val="21"/>
                <w:szCs w:val="21"/>
                <w:highlight w:val="none"/>
                <w:lang w:val="en-US" w:eastAsia="zh-CN" w:bidi="ar-SA"/>
              </w:rPr>
              <w:t>之间产生争议，或者因种种原因致使服务无法依照预期推进，双方均应秉持合作与互信的态度，通过友好协商和积极沟通，共同探索妥善的解决办法，按照</w:t>
            </w:r>
            <w:r>
              <w:rPr>
                <w:rFonts w:hint="eastAsia" w:ascii="宋体" w:hAnsi="宋体" w:eastAsia="宋体" w:cs="宋体"/>
                <w:color w:val="auto"/>
                <w:kern w:val="0"/>
                <w:sz w:val="21"/>
                <w:szCs w:val="21"/>
                <w:highlight w:val="none"/>
                <w:lang w:val="en-US" w:eastAsia="zh-CN" w:bidi="ar-SA"/>
              </w:rPr>
              <w:t>医院</w:t>
            </w:r>
            <w:r>
              <w:rPr>
                <w:rFonts w:hint="default" w:ascii="宋体" w:hAnsi="宋体" w:eastAsia="宋体" w:cs="宋体"/>
                <w:color w:val="auto"/>
                <w:kern w:val="0"/>
                <w:sz w:val="21"/>
                <w:szCs w:val="21"/>
                <w:highlight w:val="none"/>
                <w:lang w:val="en-US" w:eastAsia="zh-CN" w:bidi="ar-SA"/>
              </w:rPr>
              <w:t>需求保障服务的持续开展及项目目标的达成。</w:t>
            </w:r>
          </w:p>
        </w:tc>
      </w:tr>
    </w:tbl>
    <w:p>
      <w:pPr>
        <w:spacing w:line="276" w:lineRule="auto"/>
        <w:rPr>
          <w:rFonts w:ascii="宋体" w:hAnsi="宋体" w:eastAsia="宋体" w:cs="宋体"/>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（四）数据库专项服务</w:t>
      </w:r>
    </w:p>
    <w:p>
      <w:pPr>
        <w:rPr>
          <w:rFonts w:hint="default" w:eastAsiaTheme="minorEastAsia"/>
          <w:color w:val="000000" w:themeColor="text1"/>
          <w:lang w:val="en-US" w:eastAsia="zh-CN"/>
          <w14:textFill>
            <w14:solidFill>
              <w14:schemeClr w14:val="tx1"/>
            </w14:solidFill>
          </w14:textFill>
        </w:rPr>
      </w:pPr>
    </w:p>
    <w:tbl>
      <w:tblPr>
        <w:tblStyle w:val="10"/>
        <w:tblW w:w="9780"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19"/>
        <w:gridCol w:w="1501"/>
        <w:gridCol w:w="4820"/>
        <w:gridCol w:w="890"/>
        <w:gridCol w:w="175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501"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w:t>
            </w:r>
          </w:p>
        </w:tc>
        <w:tc>
          <w:tcPr>
            <w:tcW w:w="4820"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w:t>
            </w:r>
          </w:p>
        </w:tc>
        <w:tc>
          <w:tcPr>
            <w:tcW w:w="890"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频次</w:t>
            </w:r>
          </w:p>
        </w:tc>
        <w:tc>
          <w:tcPr>
            <w:tcW w:w="1750"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9"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0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专职人员负责制</w:t>
            </w:r>
          </w:p>
        </w:tc>
        <w:tc>
          <w:tcPr>
            <w:tcW w:w="48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配备专职DBA，7*24小时负责日常对接数据库相关问题的反馈、处理与跟踪。配置人员具有ORACLE专家认证资格。</w:t>
            </w:r>
          </w:p>
        </w:tc>
        <w:tc>
          <w:tcPr>
            <w:tcW w:w="89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75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电话/即时通讯软件（QQ,微信）/现场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9"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50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数据备份日常检查服务</w:t>
            </w:r>
          </w:p>
        </w:tc>
        <w:tc>
          <w:tcPr>
            <w:tcW w:w="48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因出于对数据备份安全及备份执行有效性检查考虑，需要医院对在用数据库所有备份策略进行定期检查（如：DMP、RMAN备份，归档日志，双机备份软件等）确保其备份工作的有效执行，为数据安全提供有力保障。</w:t>
            </w:r>
          </w:p>
        </w:tc>
        <w:tc>
          <w:tcPr>
            <w:tcW w:w="89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75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9"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0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数据备份日常检查提醒服务</w:t>
            </w:r>
          </w:p>
        </w:tc>
        <w:tc>
          <w:tcPr>
            <w:tcW w:w="48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因出于对医院数据备份安全检查工作提醒的考虑，需要通过短信、电话、远程等方式定期提醒客户对数据备份的有效性进行检查，确保其能持续有效的运行。</w:t>
            </w:r>
          </w:p>
        </w:tc>
        <w:tc>
          <w:tcPr>
            <w:tcW w:w="89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75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9"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0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辅助故障定位服务</w:t>
            </w:r>
          </w:p>
        </w:tc>
        <w:tc>
          <w:tcPr>
            <w:tcW w:w="48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当故障涉及多个系统层面及多家供应商时，DBA运维工程师将从数据库层面协助用户进行故障定位，及时将故障根源告知用户，提高问题解决效率。</w:t>
            </w:r>
          </w:p>
        </w:tc>
        <w:tc>
          <w:tcPr>
            <w:tcW w:w="89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75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9"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0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数据库组件修复</w:t>
            </w:r>
          </w:p>
        </w:tc>
        <w:tc>
          <w:tcPr>
            <w:tcW w:w="48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些数据库内部对象和组件可能会因为各种原因导致失效，引起数据库一些内部操作出现问题，如常见的DBMS包失效导致AWR报告无法获取，数据泵备份报错等等，我们在巡检中发现该类问题，会对失效过程和组件进行修复，保证数据库组件和内部包功能有效，有用。</w:t>
            </w:r>
          </w:p>
        </w:tc>
        <w:tc>
          <w:tcPr>
            <w:tcW w:w="89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75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9"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50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数据灾难恢复服务</w:t>
            </w:r>
          </w:p>
        </w:tc>
        <w:tc>
          <w:tcPr>
            <w:tcW w:w="48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因客户的支撑环境出现故障，如：停电，误操作，导致的数据库损坏，无法启动或无法登陆需要对应用数据库故障进行恢复处理，保证其恢复后，能正常使用。</w:t>
            </w:r>
          </w:p>
        </w:tc>
        <w:tc>
          <w:tcPr>
            <w:tcW w:w="89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发生时</w:t>
            </w:r>
          </w:p>
        </w:tc>
        <w:tc>
          <w:tcPr>
            <w:tcW w:w="175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远程/现场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9"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50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数据安全检测</w:t>
            </w:r>
          </w:p>
        </w:tc>
        <w:tc>
          <w:tcPr>
            <w:tcW w:w="48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定时采集用户生产数据库负载、备份情况、告警日志等内容，采集结果如有异常，用户将会第一时间收到异常消息和邮件提醒。</w:t>
            </w:r>
          </w:p>
        </w:tc>
        <w:tc>
          <w:tcPr>
            <w:tcW w:w="89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75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9"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0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数据库安全巡检服务</w:t>
            </w:r>
          </w:p>
        </w:tc>
        <w:tc>
          <w:tcPr>
            <w:tcW w:w="48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现场对于用户进行的例行巡检工作，对数据库、操作系统、存储、网络等几十项安全指标进行一一的检查，出具符合规范的巡检报告。</w:t>
            </w:r>
          </w:p>
        </w:tc>
        <w:tc>
          <w:tcPr>
            <w:tcW w:w="89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4次/年</w:t>
            </w:r>
          </w:p>
        </w:tc>
        <w:tc>
          <w:tcPr>
            <w:tcW w:w="175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远程/现场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9"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50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SQL性能诊断和优化</w:t>
            </w:r>
          </w:p>
        </w:tc>
        <w:tc>
          <w:tcPr>
            <w:tcW w:w="48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对数据库性能进行跟踪监控，信息采集保存。出现某个操作卡顿，业务突然变慢，SQL执行效率低下的情况，根据现象在数据库层面进行分析诊断，定位问题可能出现的原因并进行必要的优化与调整</w:t>
            </w:r>
          </w:p>
        </w:tc>
        <w:tc>
          <w:tcPr>
            <w:tcW w:w="89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75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9"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50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数据库漏洞和安全补丁服务</w:t>
            </w:r>
          </w:p>
        </w:tc>
        <w:tc>
          <w:tcPr>
            <w:tcW w:w="48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根据用户过等保评审的需求或者安全公司漏洞扫描的需求，给用户部署最新的漏洞和安全补丁，保证用户的数据库安全符合等保要求。</w:t>
            </w:r>
          </w:p>
        </w:tc>
        <w:tc>
          <w:tcPr>
            <w:tcW w:w="89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75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远程/现场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9"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50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数据库规划服务</w:t>
            </w:r>
          </w:p>
        </w:tc>
        <w:tc>
          <w:tcPr>
            <w:tcW w:w="48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在服务期内，根据HIS信息系统的运行要求为医院提供专业的数据库运行环境设计与规划数据库相关硬件、软件、安全容灾等服务。</w:t>
            </w:r>
          </w:p>
        </w:tc>
        <w:tc>
          <w:tcPr>
            <w:tcW w:w="89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75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w:t>
            </w:r>
          </w:p>
        </w:tc>
      </w:tr>
    </w:tbl>
    <w:p>
      <w:pPr>
        <w:pStyle w:val="25"/>
        <w:widowControl w:val="0"/>
        <w:jc w:val="both"/>
        <w:rPr>
          <w:rFonts w:hint="eastAsia" w:ascii="宋体" w:hAnsi="宋体" w:eastAsia="宋体" w:cs="宋体"/>
          <w:color w:val="auto"/>
          <w:sz w:val="21"/>
          <w:szCs w:val="21"/>
          <w:highlight w:val="none"/>
          <w:lang w:val="en-US" w:eastAsia="zh-CN"/>
        </w:rPr>
      </w:pPr>
    </w:p>
    <w:p>
      <w:pPr>
        <w:pStyle w:val="14"/>
        <w:rPr>
          <w:rFonts w:hint="eastAsia"/>
          <w:lang w:val="en-US" w:eastAsia="zh-CN"/>
        </w:rPr>
        <w:sectPr>
          <w:pgSz w:w="11906" w:h="16838"/>
          <w:pgMar w:top="1134" w:right="567" w:bottom="1134" w:left="1134" w:header="851" w:footer="992" w:gutter="0"/>
          <w:cols w:space="425" w:num="1"/>
          <w:docGrid w:type="lines" w:linePitch="312" w:charSpace="0"/>
        </w:sectPr>
      </w:pPr>
    </w:p>
    <w:p>
      <w:pPr>
        <w:pStyle w:val="14"/>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6" w:name="_Toc17565"/>
      <w:r>
        <w:rPr>
          <w:rFonts w:hint="eastAsia"/>
          <w:lang w:val="en-US" w:eastAsia="zh-CN"/>
        </w:rPr>
        <w:t>四、三甲综合医院同类项目案例</w:t>
      </w:r>
      <w:bookmarkEnd w:id="26"/>
    </w:p>
    <w:p>
      <w:pPr>
        <w:pStyle w:val="3"/>
        <w:bidi w:val="0"/>
        <w:ind w:firstLine="482" w:firstLineChars="200"/>
        <w:rPr>
          <w:rFonts w:hint="eastAsia"/>
          <w:lang w:val="en-US" w:eastAsia="zh-CN"/>
        </w:rPr>
      </w:pPr>
      <w:bookmarkStart w:id="27" w:name="_Toc29430"/>
      <w:r>
        <w:rPr>
          <w:rFonts w:hint="eastAsia"/>
          <w:lang w:val="en-US" w:eastAsia="zh-CN"/>
        </w:rPr>
        <w:t>4.1四川省内（）家</w:t>
      </w:r>
      <w:bookmarkEnd w:id="27"/>
    </w:p>
    <w:tbl>
      <w:tblPr>
        <w:tblStyle w:val="10"/>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22"/>
        <w:ind w:firstLine="0" w:firstLineChars="0"/>
        <w:rPr>
          <w:rFonts w:hint="eastAsia" w:ascii="仿宋" w:hAnsi="仿宋" w:eastAsia="仿宋" w:cs="仿宋"/>
          <w:sz w:val="30"/>
          <w:szCs w:val="30"/>
        </w:rPr>
      </w:pPr>
    </w:p>
    <w:p>
      <w:pPr>
        <w:pStyle w:val="14"/>
        <w:rPr>
          <w:rFonts w:hint="eastAsia" w:ascii="仿宋" w:hAnsi="仿宋" w:eastAsia="仿宋" w:cs="仿宋"/>
          <w:kern w:val="2"/>
          <w:sz w:val="30"/>
          <w:szCs w:val="30"/>
        </w:rPr>
      </w:pPr>
    </w:p>
    <w:p>
      <w:pPr>
        <w:pStyle w:val="14"/>
        <w:rPr>
          <w:rFonts w:hint="eastAsia" w:ascii="仿宋" w:hAnsi="仿宋" w:eastAsia="仿宋" w:cs="仿宋"/>
          <w:kern w:val="2"/>
          <w:sz w:val="30"/>
          <w:szCs w:val="30"/>
        </w:rPr>
      </w:pPr>
    </w:p>
    <w:p>
      <w:pPr>
        <w:pStyle w:val="14"/>
        <w:rPr>
          <w:rFonts w:hint="eastAsia" w:ascii="仿宋" w:hAnsi="仿宋" w:eastAsia="仿宋" w:cs="仿宋"/>
          <w:kern w:val="2"/>
          <w:sz w:val="30"/>
          <w:szCs w:val="30"/>
        </w:rPr>
      </w:pPr>
    </w:p>
    <w:p>
      <w:pPr>
        <w:pStyle w:val="14"/>
        <w:rPr>
          <w:rFonts w:hint="eastAsia" w:ascii="仿宋" w:hAnsi="仿宋" w:eastAsia="仿宋" w:cs="仿宋"/>
          <w:kern w:val="2"/>
          <w:sz w:val="30"/>
          <w:szCs w:val="30"/>
        </w:rPr>
      </w:pPr>
    </w:p>
    <w:p>
      <w:pPr>
        <w:pStyle w:val="14"/>
        <w:rPr>
          <w:rFonts w:hint="eastAsia" w:ascii="仿宋" w:hAnsi="仿宋" w:eastAsia="仿宋" w:cs="仿宋"/>
          <w:kern w:val="2"/>
          <w:sz w:val="30"/>
          <w:szCs w:val="30"/>
        </w:rPr>
      </w:pPr>
    </w:p>
    <w:p>
      <w:pPr>
        <w:pStyle w:val="3"/>
        <w:bidi w:val="0"/>
        <w:ind w:firstLine="482" w:firstLineChars="200"/>
        <w:rPr>
          <w:rFonts w:hint="eastAsia"/>
          <w:lang w:val="en-US" w:eastAsia="zh-CN"/>
        </w:rPr>
      </w:pPr>
      <w:bookmarkStart w:id="28" w:name="_Toc8493"/>
      <w:r>
        <w:rPr>
          <w:rFonts w:hint="eastAsia"/>
          <w:lang w:val="en-US" w:eastAsia="zh-CN"/>
        </w:rPr>
        <w:t>4.1四川省外（）家</w:t>
      </w:r>
      <w:bookmarkEnd w:id="28"/>
    </w:p>
    <w:tbl>
      <w:tblPr>
        <w:tblStyle w:val="10"/>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bidi w:val="0"/>
        <w:ind w:firstLine="482" w:firstLineChars="200"/>
        <w:rPr>
          <w:rFonts w:hint="eastAsia"/>
          <w:lang w:val="en-US" w:eastAsia="zh-CN"/>
        </w:rPr>
      </w:pPr>
    </w:p>
    <w:p>
      <w:pPr>
        <w:pStyle w:val="3"/>
        <w:bidi w:val="0"/>
        <w:ind w:firstLine="482" w:firstLineChars="200"/>
        <w:rPr>
          <w:rFonts w:hint="eastAsia"/>
          <w:lang w:val="en-US" w:eastAsia="zh-CN"/>
        </w:rPr>
      </w:pPr>
      <w:bookmarkStart w:id="29" w:name="_Toc138151651"/>
      <w:bookmarkStart w:id="30" w:name="_Toc7986"/>
      <w:r>
        <w:rPr>
          <w:rFonts w:hint="eastAsia"/>
          <w:lang w:val="en-US" w:eastAsia="zh-CN"/>
        </w:rPr>
        <w:t>4.3三甲综合医院同类项目案例合同及验收佐证</w:t>
      </w:r>
      <w:bookmarkEnd w:id="29"/>
      <w:bookmarkEnd w:id="30"/>
    </w:p>
    <w:p>
      <w:pPr>
        <w:pStyle w:val="14"/>
        <w:spacing w:line="240" w:lineRule="auto"/>
        <w:rPr>
          <w:rFonts w:hint="eastAsia" w:ascii="仿宋" w:hAnsi="仿宋" w:eastAsia="仿宋" w:cs="仿宋"/>
          <w:b w:val="0"/>
          <w:color w:val="0000FF"/>
          <w:kern w:val="2"/>
          <w:sz w:val="24"/>
          <w:szCs w:val="24"/>
          <w:lang w:val="en-US" w:eastAsia="zh-CN" w:bidi="ar-SA"/>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1" w:name="_Toc11734"/>
      <w:r>
        <w:rPr>
          <w:rFonts w:hint="eastAsia"/>
          <w:lang w:val="en-US" w:eastAsia="zh-CN"/>
        </w:rPr>
        <w:t>五、维保服务方案</w:t>
      </w:r>
      <w:bookmarkEnd w:id="31"/>
    </w:p>
    <w:p>
      <w:pPr>
        <w:bidi w:val="0"/>
        <w:rPr>
          <w:rFonts w:hint="eastAsia"/>
          <w:lang w:val="en-US" w:eastAsia="zh-CN"/>
        </w:rPr>
      </w:pPr>
      <w:bookmarkStart w:id="32" w:name="_Toc138151653"/>
      <w:r>
        <w:rPr>
          <w:rFonts w:hint="eastAsia"/>
          <w:lang w:val="en-US" w:eastAsia="zh-CN"/>
        </w:rPr>
        <w:t>（包含以上内容，其他内容自拟）</w:t>
      </w:r>
    </w:p>
    <w:bookmarkEnd w:id="32"/>
    <w:p>
      <w:pPr>
        <w:rPr>
          <w:rFonts w:hint="eastAsia"/>
          <w:lang w:val="en-US" w:eastAsia="zh-CN"/>
        </w:rPr>
      </w:pPr>
    </w:p>
    <w:p>
      <w:pPr>
        <w:rPr>
          <w:rFonts w:hint="eastAsia"/>
          <w:lang w:val="en-US" w:eastAsia="zh-CN"/>
        </w:rPr>
      </w:pPr>
    </w:p>
    <w:p>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B46AFA-5015-4790-A619-1BA3FC54B2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8658875-AC31-459B-8EC3-27297C790681}"/>
  </w:font>
  <w:font w:name="仿宋">
    <w:panose1 w:val="02010609060101010101"/>
    <w:charset w:val="86"/>
    <w:family w:val="auto"/>
    <w:pitch w:val="default"/>
    <w:sig w:usb0="800002BF" w:usb1="38CF7CFA" w:usb2="00000016" w:usb3="00000000" w:csb0="00040001" w:csb1="00000000"/>
    <w:embedRegular r:id="rId3" w:fontKey="{19B73E0D-F38E-4C62-B508-CE5ABDD3C618}"/>
  </w:font>
  <w:font w:name="方正小标宋简体">
    <w:panose1 w:val="03000509000000000000"/>
    <w:charset w:val="86"/>
    <w:family w:val="auto"/>
    <w:pitch w:val="default"/>
    <w:sig w:usb0="00000001" w:usb1="080E0000" w:usb2="00000000" w:usb3="00000000" w:csb0="00040000" w:csb1="00000000"/>
    <w:embedRegular r:id="rId4" w:fontKey="{65C3F38A-244F-41D4-AD4F-38429C62C2BE}"/>
  </w:font>
  <w:font w:name="方正黑体简体">
    <w:panose1 w:val="03000509000000000000"/>
    <w:charset w:val="86"/>
    <w:family w:val="auto"/>
    <w:pitch w:val="default"/>
    <w:sig w:usb0="00000001" w:usb1="080E0000" w:usb2="00000000" w:usb3="00000000" w:csb0="00040000" w:csb1="00000000"/>
    <w:embedRegular r:id="rId5" w:fontKey="{4299FE6E-957B-412B-B494-893B0030450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F6D85"/>
    <w:multiLevelType w:val="singleLevel"/>
    <w:tmpl w:val="BABF6D85"/>
    <w:lvl w:ilvl="0" w:tentative="0">
      <w:start w:val="1"/>
      <w:numFmt w:val="decimal"/>
      <w:suff w:val="nothing"/>
      <w:lvlText w:val="（%1）"/>
      <w:lvlJc w:val="left"/>
    </w:lvl>
  </w:abstractNum>
  <w:abstractNum w:abstractNumId="1">
    <w:nsid w:val="E64DC3CE"/>
    <w:multiLevelType w:val="singleLevel"/>
    <w:tmpl w:val="E64DC3CE"/>
    <w:lvl w:ilvl="0" w:tentative="0">
      <w:start w:val="1"/>
      <w:numFmt w:val="chineseCounting"/>
      <w:suff w:val="nothing"/>
      <w:lvlText w:val="（%1）"/>
      <w:lvlJc w:val="left"/>
      <w:rPr>
        <w:rFonts w:hint="eastAsia"/>
      </w:rPr>
    </w:lvl>
  </w:abstractNum>
  <w:abstractNum w:abstractNumId="2">
    <w:nsid w:val="23DEF404"/>
    <w:multiLevelType w:val="singleLevel"/>
    <w:tmpl w:val="23DEF404"/>
    <w:lvl w:ilvl="0" w:tentative="0">
      <w:start w:val="1"/>
      <w:numFmt w:val="chineseCounting"/>
      <w:suff w:val="nothing"/>
      <w:lvlText w:val="%1、"/>
      <w:lvlJc w:val="left"/>
      <w:rPr>
        <w:rFonts w:hint="eastAsia"/>
      </w:rPr>
    </w:lvl>
  </w:abstractNum>
  <w:abstractNum w:abstractNumId="3">
    <w:nsid w:val="24479DE8"/>
    <w:multiLevelType w:val="singleLevel"/>
    <w:tmpl w:val="24479DE8"/>
    <w:lvl w:ilvl="0" w:tentative="0">
      <w:start w:val="9"/>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03675E8"/>
    <w:rsid w:val="01D52A58"/>
    <w:rsid w:val="0224038E"/>
    <w:rsid w:val="02CE7139"/>
    <w:rsid w:val="03163E1D"/>
    <w:rsid w:val="03552A08"/>
    <w:rsid w:val="03D3104E"/>
    <w:rsid w:val="04593878"/>
    <w:rsid w:val="052B1309"/>
    <w:rsid w:val="07C537D5"/>
    <w:rsid w:val="07E9598A"/>
    <w:rsid w:val="07F76D1E"/>
    <w:rsid w:val="09EF4DDA"/>
    <w:rsid w:val="0A5A448A"/>
    <w:rsid w:val="0AED6E12"/>
    <w:rsid w:val="0C811C7B"/>
    <w:rsid w:val="0CDC4161"/>
    <w:rsid w:val="0D5422FE"/>
    <w:rsid w:val="0DD4413B"/>
    <w:rsid w:val="0E266744"/>
    <w:rsid w:val="0EA93CA3"/>
    <w:rsid w:val="10AE73EC"/>
    <w:rsid w:val="1118101A"/>
    <w:rsid w:val="11DA6532"/>
    <w:rsid w:val="121A3D4C"/>
    <w:rsid w:val="134306AA"/>
    <w:rsid w:val="135A02D0"/>
    <w:rsid w:val="13712447"/>
    <w:rsid w:val="14E013D0"/>
    <w:rsid w:val="15CF1F26"/>
    <w:rsid w:val="16207B77"/>
    <w:rsid w:val="16B36D4D"/>
    <w:rsid w:val="18D92EBD"/>
    <w:rsid w:val="1AAF2DD5"/>
    <w:rsid w:val="1AE31E7C"/>
    <w:rsid w:val="1B46204F"/>
    <w:rsid w:val="1BBC5511"/>
    <w:rsid w:val="1DBE13B8"/>
    <w:rsid w:val="1E77318B"/>
    <w:rsid w:val="1ED65F1E"/>
    <w:rsid w:val="20390524"/>
    <w:rsid w:val="20E172DD"/>
    <w:rsid w:val="20E3342D"/>
    <w:rsid w:val="228C6E75"/>
    <w:rsid w:val="22A273FF"/>
    <w:rsid w:val="23E3036F"/>
    <w:rsid w:val="25380CA0"/>
    <w:rsid w:val="257D0110"/>
    <w:rsid w:val="25C63BAB"/>
    <w:rsid w:val="25C67C05"/>
    <w:rsid w:val="263578BE"/>
    <w:rsid w:val="26A70C65"/>
    <w:rsid w:val="270C409F"/>
    <w:rsid w:val="2777374E"/>
    <w:rsid w:val="283860D8"/>
    <w:rsid w:val="29FF496C"/>
    <w:rsid w:val="2A1F28C7"/>
    <w:rsid w:val="2B8925CC"/>
    <w:rsid w:val="2C6F6170"/>
    <w:rsid w:val="2C9F6F43"/>
    <w:rsid w:val="2D755A60"/>
    <w:rsid w:val="2E8E10D4"/>
    <w:rsid w:val="305F1B4D"/>
    <w:rsid w:val="30C93B1B"/>
    <w:rsid w:val="32024D28"/>
    <w:rsid w:val="337511B1"/>
    <w:rsid w:val="34535875"/>
    <w:rsid w:val="34B66051"/>
    <w:rsid w:val="36C21BE7"/>
    <w:rsid w:val="36C450EA"/>
    <w:rsid w:val="372B5D93"/>
    <w:rsid w:val="375B0AE1"/>
    <w:rsid w:val="386C41A1"/>
    <w:rsid w:val="38761053"/>
    <w:rsid w:val="38A804E3"/>
    <w:rsid w:val="39106763"/>
    <w:rsid w:val="3A985554"/>
    <w:rsid w:val="3AAB598F"/>
    <w:rsid w:val="3B9C785C"/>
    <w:rsid w:val="3D8E5A8D"/>
    <w:rsid w:val="3E924036"/>
    <w:rsid w:val="3EBE4976"/>
    <w:rsid w:val="3EF73899"/>
    <w:rsid w:val="41F702EE"/>
    <w:rsid w:val="428970E4"/>
    <w:rsid w:val="42BD668F"/>
    <w:rsid w:val="42D82436"/>
    <w:rsid w:val="44BE1658"/>
    <w:rsid w:val="46241EA6"/>
    <w:rsid w:val="46C53FAB"/>
    <w:rsid w:val="47823284"/>
    <w:rsid w:val="47E67906"/>
    <w:rsid w:val="485E35F8"/>
    <w:rsid w:val="49550899"/>
    <w:rsid w:val="49BA2D04"/>
    <w:rsid w:val="49BB0786"/>
    <w:rsid w:val="4B643ABC"/>
    <w:rsid w:val="4B9F639D"/>
    <w:rsid w:val="4BC230D9"/>
    <w:rsid w:val="4D696680"/>
    <w:rsid w:val="4F4F10AC"/>
    <w:rsid w:val="4F5F64BA"/>
    <w:rsid w:val="4FB545D4"/>
    <w:rsid w:val="502E58AD"/>
    <w:rsid w:val="51B47BC2"/>
    <w:rsid w:val="5339476F"/>
    <w:rsid w:val="536B2A7D"/>
    <w:rsid w:val="53DE59A8"/>
    <w:rsid w:val="53E51F5E"/>
    <w:rsid w:val="541505F1"/>
    <w:rsid w:val="54400E09"/>
    <w:rsid w:val="55B6522E"/>
    <w:rsid w:val="5715646F"/>
    <w:rsid w:val="59410223"/>
    <w:rsid w:val="59723D50"/>
    <w:rsid w:val="5A864B12"/>
    <w:rsid w:val="5A920D49"/>
    <w:rsid w:val="5B4B35D6"/>
    <w:rsid w:val="5BB10EFE"/>
    <w:rsid w:val="5D6D7971"/>
    <w:rsid w:val="5D762C66"/>
    <w:rsid w:val="5DEA79AF"/>
    <w:rsid w:val="5E2F3B42"/>
    <w:rsid w:val="5F4131D6"/>
    <w:rsid w:val="5F6F0822"/>
    <w:rsid w:val="5F744CAA"/>
    <w:rsid w:val="5F957CDE"/>
    <w:rsid w:val="5FDD7E71"/>
    <w:rsid w:val="62561308"/>
    <w:rsid w:val="62927E29"/>
    <w:rsid w:val="640D6CAC"/>
    <w:rsid w:val="64105038"/>
    <w:rsid w:val="644B199A"/>
    <w:rsid w:val="64D6157E"/>
    <w:rsid w:val="65B14764"/>
    <w:rsid w:val="67CB7B5D"/>
    <w:rsid w:val="687304EE"/>
    <w:rsid w:val="68783C73"/>
    <w:rsid w:val="68EC7555"/>
    <w:rsid w:val="693862AF"/>
    <w:rsid w:val="6A961A6F"/>
    <w:rsid w:val="6A987C6E"/>
    <w:rsid w:val="6D4B29EE"/>
    <w:rsid w:val="6D6D71FE"/>
    <w:rsid w:val="6EC06CA8"/>
    <w:rsid w:val="6EED01BE"/>
    <w:rsid w:val="6FCD7A7D"/>
    <w:rsid w:val="709E1F5D"/>
    <w:rsid w:val="712612D9"/>
    <w:rsid w:val="71B2000E"/>
    <w:rsid w:val="72307267"/>
    <w:rsid w:val="725577F4"/>
    <w:rsid w:val="73A103C3"/>
    <w:rsid w:val="740C7A72"/>
    <w:rsid w:val="74BE1DD0"/>
    <w:rsid w:val="75AA5052"/>
    <w:rsid w:val="75BE2C2C"/>
    <w:rsid w:val="765F4A43"/>
    <w:rsid w:val="76EB7264"/>
    <w:rsid w:val="77F5610B"/>
    <w:rsid w:val="79175759"/>
    <w:rsid w:val="7B224A66"/>
    <w:rsid w:val="7CEF5984"/>
    <w:rsid w:val="7EF240BF"/>
    <w:rsid w:val="7F2C38B2"/>
    <w:rsid w:val="7F2D0FB6"/>
    <w:rsid w:val="7F962F62"/>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qFormat/>
    <w:uiPriority w:val="39"/>
  </w:style>
  <w:style w:type="paragraph" w:styleId="8">
    <w:name w:val="toc 2"/>
    <w:basedOn w:val="1"/>
    <w:next w:val="1"/>
    <w:qFormat/>
    <w:uiPriority w:val="0"/>
    <w:pPr>
      <w:ind w:left="420" w:leftChars="200"/>
    </w:p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font81"/>
    <w:basedOn w:val="12"/>
    <w:qFormat/>
    <w:uiPriority w:val="0"/>
    <w:rPr>
      <w:rFonts w:hint="eastAsia" w:ascii="仿宋" w:hAnsi="仿宋" w:eastAsia="仿宋" w:cs="仿宋"/>
      <w:color w:val="FF0000"/>
      <w:sz w:val="24"/>
      <w:szCs w:val="24"/>
      <w:u w:val="none"/>
    </w:rPr>
  </w:style>
  <w:style w:type="character" w:customStyle="1" w:styleId="16">
    <w:name w:val="font61"/>
    <w:basedOn w:val="12"/>
    <w:qFormat/>
    <w:uiPriority w:val="0"/>
    <w:rPr>
      <w:rFonts w:hint="eastAsia" w:ascii="仿宋" w:hAnsi="仿宋" w:eastAsia="仿宋" w:cs="仿宋"/>
      <w:color w:val="000000"/>
      <w:sz w:val="24"/>
      <w:szCs w:val="24"/>
      <w:u w:val="none"/>
    </w:rPr>
  </w:style>
  <w:style w:type="character" w:customStyle="1" w:styleId="17">
    <w:name w:val="font41"/>
    <w:basedOn w:val="12"/>
    <w:qFormat/>
    <w:uiPriority w:val="0"/>
    <w:rPr>
      <w:rFonts w:hint="eastAsia" w:ascii="仿宋" w:hAnsi="仿宋" w:eastAsia="仿宋" w:cs="仿宋"/>
      <w:color w:val="000000"/>
      <w:sz w:val="24"/>
      <w:szCs w:val="24"/>
      <w:u w:val="none"/>
    </w:rPr>
  </w:style>
  <w:style w:type="character" w:customStyle="1" w:styleId="18">
    <w:name w:val="font71"/>
    <w:basedOn w:val="12"/>
    <w:qFormat/>
    <w:uiPriority w:val="0"/>
    <w:rPr>
      <w:rFonts w:hint="eastAsia" w:ascii="仿宋" w:hAnsi="仿宋" w:eastAsia="仿宋" w:cs="仿宋"/>
      <w:color w:val="0070C0"/>
      <w:sz w:val="24"/>
      <w:szCs w:val="24"/>
      <w:u w:val="none"/>
    </w:rPr>
  </w:style>
  <w:style w:type="character" w:customStyle="1" w:styleId="19">
    <w:name w:val="font51"/>
    <w:basedOn w:val="12"/>
    <w:qFormat/>
    <w:uiPriority w:val="0"/>
    <w:rPr>
      <w:rFonts w:hint="eastAsia" w:ascii="宋体" w:hAnsi="宋体" w:eastAsia="宋体" w:cs="宋体"/>
      <w:color w:val="000000"/>
      <w:sz w:val="24"/>
      <w:szCs w:val="24"/>
      <w:u w:val="none"/>
    </w:rPr>
  </w:style>
  <w:style w:type="character" w:customStyle="1" w:styleId="20">
    <w:name w:val="font21"/>
    <w:basedOn w:val="12"/>
    <w:qFormat/>
    <w:uiPriority w:val="0"/>
    <w:rPr>
      <w:rFonts w:hint="eastAsia" w:ascii="宋体" w:hAnsi="宋体" w:eastAsia="宋体" w:cs="宋体"/>
      <w:color w:val="000000"/>
      <w:sz w:val="22"/>
      <w:szCs w:val="22"/>
      <w:u w:val="none"/>
    </w:rPr>
  </w:style>
  <w:style w:type="character" w:customStyle="1" w:styleId="21">
    <w:name w:val="font11"/>
    <w:basedOn w:val="12"/>
    <w:qFormat/>
    <w:uiPriority w:val="0"/>
    <w:rPr>
      <w:rFonts w:hint="eastAsia" w:ascii="宋体" w:hAnsi="宋体" w:eastAsia="宋体" w:cs="宋体"/>
      <w:b/>
      <w:bCs/>
      <w:color w:val="000000"/>
      <w:sz w:val="24"/>
      <w:szCs w:val="24"/>
      <w:u w:val="none"/>
    </w:rPr>
  </w:style>
  <w:style w:type="paragraph" w:customStyle="1" w:styleId="2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3">
    <w:name w:val="font31"/>
    <w:basedOn w:val="12"/>
    <w:qFormat/>
    <w:uiPriority w:val="0"/>
    <w:rPr>
      <w:rFonts w:hint="eastAsia" w:ascii="宋体" w:hAnsi="宋体" w:eastAsia="宋体" w:cs="宋体"/>
      <w:color w:val="000000"/>
      <w:sz w:val="24"/>
      <w:szCs w:val="24"/>
      <w:u w:val="none"/>
    </w:rPr>
  </w:style>
  <w:style w:type="character" w:customStyle="1" w:styleId="24">
    <w:name w:val="font01"/>
    <w:basedOn w:val="12"/>
    <w:qFormat/>
    <w:uiPriority w:val="0"/>
    <w:rPr>
      <w:rFonts w:hint="eastAsia" w:ascii="宋体" w:hAnsi="宋体" w:eastAsia="宋体" w:cs="宋体"/>
      <w:color w:val="000000"/>
      <w:sz w:val="22"/>
      <w:szCs w:val="22"/>
      <w:u w:val="none"/>
    </w:rPr>
  </w:style>
  <w:style w:type="paragraph" w:customStyle="1" w:styleId="25">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1275</Words>
  <Characters>1390</Characters>
  <Lines>0</Lines>
  <Paragraphs>0</Paragraphs>
  <TotalTime>3</TotalTime>
  <ScaleCrop>false</ScaleCrop>
  <LinksUpToDate>false</LinksUpToDate>
  <CharactersWithSpaces>1529</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Jens</cp:lastModifiedBy>
  <cp:lastPrinted>2025-07-03T00:29:00Z</cp:lastPrinted>
  <dcterms:modified xsi:type="dcterms:W3CDTF">2025-07-15T06:11:13Z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FEEE9915D67140D99D31C00206140787</vt:lpwstr>
  </property>
  <property fmtid="{D5CDD505-2E9C-101B-9397-08002B2CF9AE}" pid="4" name="KSOTemplateDocerSaveRecord">
    <vt:lpwstr>eyJoZGlkIjoiYzkyNTNhZDZlMjk0MWQ0NTI2ODg4MGVjZDEzYmM4ZjUiLCJ1c2VySWQiOiI0OTQ3NzczIn0=</vt:lpwstr>
  </property>
</Properties>
</file>