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b/>
          <w:bCs/>
          <w:sz w:val="48"/>
          <w:szCs w:val="48"/>
        </w:rPr>
      </w:pPr>
    </w:p>
    <w:p>
      <w:pPr>
        <w:jc w:val="center"/>
        <w:rPr>
          <w:rFonts w:ascii="宋体" w:hAnsi="宋体" w:cs="宋体"/>
          <w:b/>
          <w:bCs/>
          <w:spacing w:val="-12"/>
          <w:sz w:val="48"/>
          <w:szCs w:val="48"/>
        </w:rPr>
      </w:pPr>
    </w:p>
    <w:p>
      <w:pPr>
        <w:jc w:val="center"/>
        <w:outlineLvl w:val="0"/>
        <w:rPr>
          <w:rFonts w:hint="eastAsia" w:ascii="宋体" w:hAnsi="宋体" w:cs="宋体"/>
          <w:b/>
          <w:bCs/>
          <w:spacing w:val="-12"/>
          <w:sz w:val="48"/>
          <w:szCs w:val="48"/>
          <w:lang w:eastAsia="zh-CN"/>
        </w:rPr>
      </w:pPr>
      <w:bookmarkStart w:id="0" w:name="OLE_LINK20"/>
      <w:bookmarkStart w:id="1" w:name="OLE_LINK18"/>
      <w:r>
        <w:rPr>
          <w:rFonts w:hint="eastAsia" w:ascii="宋体" w:hAnsi="宋体" w:cs="宋体"/>
          <w:b/>
          <w:bCs/>
          <w:spacing w:val="-12"/>
          <w:sz w:val="48"/>
          <w:szCs w:val="48"/>
          <w:lang w:eastAsia="zh-CN"/>
        </w:rPr>
        <w:t>资阳市中心医院第二住院楼四楼监管病房</w:t>
      </w:r>
    </w:p>
    <w:p>
      <w:pPr>
        <w:jc w:val="center"/>
        <w:outlineLvl w:val="0"/>
        <w:rPr>
          <w:rFonts w:hint="eastAsia" w:ascii="宋体" w:hAnsi="宋体" w:eastAsia="宋体" w:cs="宋体"/>
          <w:b/>
          <w:bCs/>
          <w:spacing w:val="-12"/>
          <w:sz w:val="48"/>
          <w:szCs w:val="48"/>
          <w:lang w:eastAsia="zh-CN"/>
        </w:rPr>
      </w:pPr>
      <w:r>
        <w:rPr>
          <w:rFonts w:hint="eastAsia" w:ascii="宋体" w:hAnsi="宋体" w:cs="宋体"/>
          <w:b/>
          <w:bCs/>
          <w:spacing w:val="-12"/>
          <w:sz w:val="48"/>
          <w:szCs w:val="48"/>
          <w:lang w:eastAsia="zh-CN"/>
        </w:rPr>
        <w:t>改造项目（</w:t>
      </w:r>
      <w:r>
        <w:rPr>
          <w:rFonts w:hint="eastAsia" w:ascii="宋体" w:hAnsi="宋体" w:cs="宋体"/>
          <w:b/>
          <w:bCs/>
          <w:spacing w:val="-12"/>
          <w:sz w:val="48"/>
          <w:szCs w:val="48"/>
          <w:lang w:val="en-US" w:eastAsia="zh-CN"/>
        </w:rPr>
        <w:t>第二次</w:t>
      </w:r>
      <w:r>
        <w:rPr>
          <w:rFonts w:hint="eastAsia" w:ascii="宋体" w:hAnsi="宋体" w:cs="宋体"/>
          <w:b/>
          <w:bCs/>
          <w:spacing w:val="-12"/>
          <w:sz w:val="48"/>
          <w:szCs w:val="48"/>
          <w:lang w:eastAsia="zh-CN"/>
        </w:rPr>
        <w:t>）</w:t>
      </w:r>
    </w:p>
    <w:bookmarkEnd w:id="0"/>
    <w:p>
      <w:pPr>
        <w:spacing w:line="360" w:lineRule="auto"/>
        <w:jc w:val="center"/>
        <w:rPr>
          <w:rFonts w:ascii="宋体" w:hAnsi="宋体" w:cs="宋体"/>
          <w:b/>
          <w:bCs/>
          <w:spacing w:val="42"/>
          <w:sz w:val="72"/>
          <w:szCs w:val="72"/>
        </w:rPr>
      </w:pPr>
    </w:p>
    <w:bookmarkEnd w:id="1"/>
    <w:p>
      <w:pPr>
        <w:spacing w:line="360" w:lineRule="auto"/>
        <w:jc w:val="center"/>
        <w:rPr>
          <w:rFonts w:ascii="宋体" w:hAnsi="宋体" w:cs="宋体"/>
          <w:b/>
          <w:bCs/>
          <w:spacing w:val="42"/>
          <w:sz w:val="72"/>
          <w:szCs w:val="72"/>
        </w:rPr>
      </w:pPr>
    </w:p>
    <w:p>
      <w:pPr>
        <w:pStyle w:val="2"/>
      </w:pPr>
    </w:p>
    <w:p>
      <w:pPr>
        <w:spacing w:line="360" w:lineRule="auto"/>
        <w:jc w:val="center"/>
        <w:outlineLvl w:val="0"/>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outlineLvl w:val="0"/>
        <w:rPr>
          <w:rFonts w:ascii="宋体"/>
          <w:b/>
          <w:bCs/>
          <w:sz w:val="32"/>
          <w:szCs w:val="32"/>
        </w:rPr>
      </w:pPr>
      <w:r>
        <w:rPr>
          <w:rFonts w:hint="eastAsia" w:ascii="宋体" w:hAnsi="宋体" w:cs="宋体"/>
          <w:b/>
          <w:bCs/>
          <w:sz w:val="32"/>
          <w:szCs w:val="32"/>
        </w:rPr>
        <w:t>比选人：资阳市中心医院</w:t>
      </w:r>
    </w:p>
    <w:p>
      <w:pPr>
        <w:spacing w:line="360" w:lineRule="auto"/>
        <w:jc w:val="center"/>
        <w:outlineLvl w:val="0"/>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outlineLvl w:val="0"/>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七</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2" w:name="_Toc173895652"/>
      <w:bookmarkStart w:id="3" w:name="_Toc173895837"/>
      <w:bookmarkStart w:id="4" w:name="_Toc211679176"/>
      <w:bookmarkStart w:id="5" w:name="_Toc180296779"/>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rPr>
        <w:t>采购单位</w:t>
      </w:r>
      <w:r>
        <w:rPr>
          <w:rFonts w:hint="eastAsia" w:ascii="宋体" w:hAnsi="宋体" w:cs="宋体"/>
          <w:b/>
          <w:bCs/>
          <w:kern w:val="0"/>
          <w:u w:val="single"/>
        </w:rPr>
        <w:t>资阳市中心医院</w:t>
      </w:r>
      <w:r>
        <w:rPr>
          <w:rFonts w:hint="eastAsia" w:ascii="宋体" w:hAnsi="宋体" w:cs="宋体"/>
          <w:b/>
          <w:bCs/>
          <w:kern w:val="0"/>
        </w:rPr>
        <w:t>拟对</w:t>
      </w:r>
      <w:r>
        <w:rPr>
          <w:rFonts w:hint="eastAsia" w:ascii="宋体" w:hAnsi="宋体" w:cs="宋体"/>
          <w:b/>
          <w:bCs/>
          <w:kern w:val="0"/>
          <w:u w:val="single"/>
          <w:lang w:val="en-US" w:eastAsia="zh-CN"/>
        </w:rPr>
        <w:t>资阳市中心医院第二住院楼四楼监管病房改造项目（第二次）</w:t>
      </w:r>
      <w:r>
        <w:rPr>
          <w:rFonts w:hint="eastAsia" w:ascii="宋体" w:hAnsi="宋体" w:cs="宋体"/>
          <w:b/>
          <w:bCs/>
          <w:kern w:val="0"/>
          <w:u w:val="none"/>
          <w:lang w:val="en-US" w:eastAsia="zh-CN"/>
        </w:rPr>
        <w:t>进行</w:t>
      </w:r>
      <w:r>
        <w:rPr>
          <w:rFonts w:hint="eastAsia" w:ascii="宋体" w:hAnsi="宋体" w:cs="宋体"/>
          <w:b/>
          <w:bCs/>
          <w:spacing w:val="-4"/>
          <w:kern w:val="0"/>
        </w:rPr>
        <w:t>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cs="宋体"/>
          <w:b/>
          <w:bCs/>
          <w:kern w:val="0"/>
          <w:u w:val="single"/>
        </w:rPr>
      </w:pPr>
      <w:r>
        <w:rPr>
          <w:rFonts w:hint="eastAsia" w:ascii="宋体" w:hAnsi="宋体" w:cs="宋体"/>
          <w:b/>
          <w:bCs/>
          <w:kern w:val="0"/>
        </w:rPr>
        <w:t>二、比选项目：</w:t>
      </w:r>
      <w:bookmarkStart w:id="6" w:name="OLE_LINK4"/>
      <w:r>
        <w:rPr>
          <w:rFonts w:hint="eastAsia" w:ascii="宋体" w:hAnsi="宋体" w:cs="宋体"/>
          <w:b/>
          <w:bCs/>
          <w:kern w:val="0"/>
          <w:u w:val="single"/>
          <w:lang w:val="en-US" w:eastAsia="zh-CN"/>
        </w:rPr>
        <w:t>资阳市中心医院第二住院楼四楼监管病房改造项目（第二次）</w:t>
      </w:r>
    </w:p>
    <w:bookmarkEnd w:id="6"/>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hAnsi="宋体"/>
          <w:kern w:val="0"/>
          <w:lang w:val="en-US" w:eastAsia="zh-CN"/>
        </w:rPr>
        <w:t>资阳市中心医院第二住院楼四楼监管病房改造项目（第二次）</w:t>
      </w:r>
      <w:r>
        <w:rPr>
          <w:rFonts w:hint="eastAsia" w:ascii="宋体" w:hAnsi="宋体" w:cs="宋体"/>
          <w:spacing w:val="-4"/>
        </w:rPr>
        <w:t>。</w:t>
      </w:r>
      <w:r>
        <w:rPr>
          <w:rFonts w:hint="eastAsia" w:hAnsi="宋体"/>
          <w:kern w:val="0"/>
        </w:rPr>
        <w:t>本项目最高限价</w:t>
      </w:r>
      <w:r>
        <w:rPr>
          <w:rFonts w:hint="eastAsia" w:hAnsi="宋体"/>
          <w:kern w:val="0"/>
          <w:lang w:val="en-US" w:eastAsia="zh-CN"/>
        </w:rPr>
        <w:t>29865.13元</w:t>
      </w:r>
      <w:r>
        <w:rPr>
          <w:rFonts w:hint="eastAsia" w:hAnsi="宋体"/>
          <w:kern w:val="0"/>
        </w:rPr>
        <w:t>。</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2"/>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2"/>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2"/>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2"/>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2"/>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7" w:name="PO_标书售卖开始时间_1"/>
      <w:r>
        <w:rPr>
          <w:rFonts w:hint="eastAsia" w:ascii="宋体" w:hAnsi="宋体" w:cs="宋体"/>
          <w:kern w:val="0"/>
        </w:rPr>
        <w:t>202</w:t>
      </w:r>
      <w:r>
        <w:rPr>
          <w:rFonts w:hint="eastAsia" w:ascii="宋体" w:hAnsi="宋体" w:cs="宋体"/>
          <w:kern w:val="0"/>
          <w:lang w:val="en-US" w:eastAsia="zh-CN"/>
        </w:rPr>
        <w:t>5</w:t>
      </w:r>
      <w:r>
        <w:rPr>
          <w:rFonts w:hint="eastAsia" w:ascii="宋体" w:hAnsi="宋体" w:cs="宋体"/>
          <w:kern w:val="0"/>
        </w:rPr>
        <w:t>年</w:t>
      </w:r>
      <w:r>
        <w:rPr>
          <w:rFonts w:hint="eastAsia" w:ascii="宋体" w:hAnsi="宋体" w:cs="宋体"/>
          <w:kern w:val="0"/>
          <w:lang w:val="en-US" w:eastAsia="zh-CN"/>
        </w:rPr>
        <w:t>7月 10</w:t>
      </w:r>
      <w:r>
        <w:rPr>
          <w:rFonts w:hint="eastAsia" w:ascii="宋体" w:hAnsi="宋体" w:cs="宋体"/>
          <w:kern w:val="0"/>
        </w:rPr>
        <w:t>日</w:t>
      </w:r>
      <w:bookmarkEnd w:id="7"/>
      <w:r>
        <w:rPr>
          <w:rFonts w:hint="eastAsia" w:ascii="宋体" w:hAnsi="宋体" w:cs="宋体"/>
          <w:kern w:val="0"/>
        </w:rPr>
        <w:t>至</w:t>
      </w:r>
      <w:bookmarkStart w:id="8" w:name="PO_标书售卖结束时间_1"/>
      <w:r>
        <w:rPr>
          <w:rFonts w:hint="eastAsia" w:ascii="宋体" w:hAnsi="宋体" w:cs="宋体"/>
          <w:kern w:val="0"/>
        </w:rPr>
        <w:t>202</w:t>
      </w:r>
      <w:r>
        <w:rPr>
          <w:rFonts w:hint="eastAsia" w:ascii="宋体" w:hAnsi="宋体" w:cs="宋体"/>
          <w:kern w:val="0"/>
          <w:lang w:val="en-US" w:eastAsia="zh-CN"/>
        </w:rPr>
        <w:t>5</w:t>
      </w:r>
      <w:r>
        <w:rPr>
          <w:rFonts w:hint="eastAsia" w:ascii="宋体" w:hAnsi="宋体" w:cs="宋体"/>
          <w:kern w:val="0"/>
        </w:rPr>
        <w:t>年</w:t>
      </w:r>
      <w:bookmarkEnd w:id="8"/>
      <w:r>
        <w:rPr>
          <w:rFonts w:hint="eastAsia" w:ascii="宋体" w:hAnsi="宋体" w:cs="宋体"/>
          <w:kern w:val="0"/>
          <w:lang w:val="en-US" w:eastAsia="zh-CN"/>
        </w:rPr>
        <w:t>7月15</w:t>
      </w:r>
      <w:r>
        <w:rPr>
          <w:rFonts w:hint="eastAsia" w:ascii="宋体" w:hAnsi="宋体" w:cs="宋体"/>
          <w:kern w:val="0"/>
        </w:rPr>
        <w:t>日</w:t>
      </w:r>
      <w:r>
        <w:rPr>
          <w:rFonts w:hint="eastAsia" w:ascii="宋体" w:hAnsi="宋体" w:cs="宋体"/>
        </w:rPr>
        <w:t>，</w:t>
      </w:r>
      <w:r>
        <w:rPr>
          <w:rFonts w:ascii="宋体" w:hAnsi="宋体" w:cs="宋体"/>
        </w:rPr>
        <w:t>资阳市中心医院官方网站下载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9" w:name="OLE_LINK2"/>
      <w:bookmarkStart w:id="10" w:name="OLE_LINK1"/>
      <w:r>
        <w:rPr>
          <w:rFonts w:hint="eastAsia" w:ascii="宋体" w:hAnsi="宋体" w:cs="宋体"/>
          <w:b/>
          <w:bCs/>
          <w:spacing w:val="-6"/>
          <w:kern w:val="0"/>
        </w:rPr>
        <w:t>递交比选申请文件截止时间</w:t>
      </w:r>
      <w:bookmarkEnd w:id="9"/>
      <w:bookmarkEnd w:id="10"/>
      <w:r>
        <w:rPr>
          <w:rFonts w:hint="eastAsia" w:ascii="宋体" w:hAnsi="宋体" w:cs="宋体"/>
          <w:b/>
          <w:bCs/>
          <w:spacing w:val="-6"/>
          <w:kern w:val="0"/>
        </w:rPr>
        <w:t>及评审时间：</w:t>
      </w:r>
      <w:r>
        <w:rPr>
          <w:rFonts w:hint="eastAsia" w:ascii="宋体" w:hAnsi="宋体" w:cs="宋体"/>
          <w:kern w:val="0"/>
        </w:rPr>
        <w:t>202</w:t>
      </w:r>
      <w:r>
        <w:rPr>
          <w:rFonts w:hint="eastAsia" w:ascii="宋体" w:hAnsi="宋体" w:cs="宋体"/>
          <w:kern w:val="0"/>
          <w:lang w:val="en-US" w:eastAsia="zh-CN"/>
        </w:rPr>
        <w:t>5</w:t>
      </w:r>
      <w:r>
        <w:rPr>
          <w:rFonts w:hint="eastAsia" w:ascii="宋体" w:hAnsi="宋体" w:cs="宋体"/>
          <w:kern w:val="0"/>
        </w:rPr>
        <w:t>年</w:t>
      </w:r>
      <w:r>
        <w:rPr>
          <w:rFonts w:hint="eastAsia" w:ascii="宋体" w:hAnsi="宋体" w:cs="宋体"/>
          <w:kern w:val="0"/>
          <w:lang w:val="en-US" w:eastAsia="zh-CN"/>
        </w:rPr>
        <w:t>7月16</w:t>
      </w:r>
      <w:bookmarkStart w:id="46" w:name="_GoBack"/>
      <w:bookmarkEnd w:id="46"/>
      <w:r>
        <w:rPr>
          <w:rFonts w:hint="eastAsia" w:ascii="宋体" w:hAnsi="宋体" w:cs="宋体"/>
          <w:kern w:val="0"/>
        </w:rPr>
        <w:t>日</w:t>
      </w:r>
      <w:r>
        <w:rPr>
          <w:rFonts w:hint="eastAsia" w:ascii="宋体" w:hAnsi="宋体" w:cs="宋体"/>
          <w:kern w:val="0"/>
          <w:lang w:val="en-US" w:eastAsia="zh-CN"/>
        </w:rPr>
        <w:t>15：00</w:t>
      </w:r>
      <w:r>
        <w:rPr>
          <w:rFonts w:hint="eastAsia" w:ascii="宋体" w:hAnsi="宋体" w:cs="宋体"/>
          <w:spacing w:val="-6"/>
          <w:kern w:val="0"/>
          <w:lang w:val="en-US" w:eastAsia="zh-CN"/>
        </w:rPr>
        <w:t>（</w:t>
      </w:r>
      <w:r>
        <w:rPr>
          <w:rFonts w:hint="eastAsia" w:ascii="宋体" w:hAnsi="宋体" w:cs="宋体"/>
          <w:spacing w:val="-6"/>
          <w:kern w:val="0"/>
        </w:rPr>
        <w:t>北京时间），供应商应于递交比选申请文件截止时间之前当日将比选申请文件送达比选地点，逾期送达比选申请文件将被拒绝。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396" w:firstLineChars="200"/>
        <w:rPr>
          <w:rFonts w:hint="eastAsia" w:ascii="宋体" w:hAnsi="宋体" w:cs="宋体"/>
          <w:b/>
          <w:bCs/>
          <w:spacing w:val="-6"/>
          <w:kern w:val="0"/>
        </w:rPr>
      </w:pPr>
      <w:r>
        <w:rPr>
          <w:rFonts w:hint="eastAsia" w:ascii="宋体" w:hAnsi="宋体" w:cs="宋体"/>
          <w:b/>
          <w:bCs/>
          <w:spacing w:val="-6"/>
          <w:kern w:val="0"/>
        </w:rPr>
        <w:t>十、公告发布：本比选邀请在资阳市中心医院官网以公告形式发布。</w:t>
      </w:r>
    </w:p>
    <w:p>
      <w:pPr>
        <w:spacing w:line="360" w:lineRule="auto"/>
        <w:ind w:firstLine="396" w:firstLineChars="200"/>
        <w:rPr>
          <w:rFonts w:ascii="宋体"/>
          <w:b/>
          <w:bCs/>
          <w:kern w:val="0"/>
        </w:rPr>
      </w:pPr>
      <w:r>
        <w:rPr>
          <w:rFonts w:hint="eastAsia" w:ascii="宋体" w:hAnsi="宋体" w:cs="宋体"/>
          <w:b/>
          <w:bCs/>
          <w:spacing w:val="-6"/>
          <w:kern w:val="0"/>
        </w:rPr>
        <w:t>十二</w:t>
      </w:r>
      <w:r>
        <w:rPr>
          <w:rFonts w:hint="eastAsia" w:ascii="宋体" w:hAnsi="宋体" w:cs="宋体"/>
          <w:b/>
          <w:bCs/>
          <w:kern w:val="0"/>
        </w:rPr>
        <w:t>、联系方式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陈</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2"/>
      <w:bookmarkEnd w:id="3"/>
      <w:bookmarkEnd w:id="4"/>
      <w:bookmarkEnd w:id="5"/>
      <w:bookmarkStart w:id="11" w:name="_Toc211679177"/>
      <w:bookmarkStart w:id="12" w:name="_Toc180296780"/>
      <w:bookmarkStart w:id="13" w:name="_Toc173895838"/>
      <w:bookmarkStart w:id="14" w:name="_Toc173895653"/>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5" w:name="_Toc180296782"/>
      <w:bookmarkStart w:id="16" w:name="_Toc173895655"/>
      <w:bookmarkStart w:id="17" w:name="_Toc211679179"/>
      <w:bookmarkStart w:id="18" w:name="_Toc173895840"/>
      <w:r>
        <w:rPr>
          <w:rFonts w:hint="eastAsia" w:ascii="宋体" w:hAnsi="宋体" w:cs="宋体"/>
          <w:kern w:val="0"/>
        </w:rPr>
        <w:t xml:space="preserve"> 供应商资格证明</w:t>
      </w:r>
      <w:bookmarkEnd w:id="15"/>
      <w:bookmarkEnd w:id="16"/>
      <w:bookmarkEnd w:id="17"/>
      <w:bookmarkEnd w:id="18"/>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 xml:space="preserve">文件六 </w:t>
      </w:r>
      <w:r>
        <w:rPr>
          <w:rFonts w:hint="eastAsia" w:hAnsi="宋体"/>
          <w:kern w:val="0"/>
        </w:rPr>
        <w:t>技术要求</w:t>
      </w:r>
      <w:r>
        <w:rPr>
          <w:rFonts w:hint="eastAsia" w:ascii="宋体" w:hAnsi="宋体" w:cs="宋体"/>
          <w:kern w:val="0"/>
        </w:rPr>
        <w:t>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pPr>
        <w:pStyle w:val="2"/>
        <w:ind w:firstLine="420" w:firstLineChars="200"/>
        <w:rPr>
          <w:rFonts w:hint="eastAsia" w:eastAsia="宋体"/>
          <w:lang w:val="en-US" w:eastAsia="zh-CN"/>
        </w:rPr>
      </w:pPr>
      <w:r>
        <w:rPr>
          <w:rFonts w:hint="eastAsia" w:ascii="宋体" w:hAnsi="宋体" w:cs="宋体"/>
          <w:kern w:val="0"/>
          <w:lang w:val="en-US" w:eastAsia="zh-CN"/>
        </w:rPr>
        <w:t xml:space="preserve">文件十 </w:t>
      </w:r>
      <w:r>
        <w:rPr>
          <w:rFonts w:hint="eastAsia" w:ascii="宋体" w:hAnsi="宋体" w:cs="宋体"/>
          <w:kern w:val="0"/>
        </w:rPr>
        <w:t>其他材料</w:t>
      </w:r>
      <w:r>
        <w:rPr>
          <w:rFonts w:hint="eastAsia" w:ascii="宋体" w:hAnsi="宋体" w:cs="宋体"/>
          <w:kern w:val="0"/>
          <w:lang w:eastAsia="zh-CN"/>
        </w:rPr>
        <w:t>（</w:t>
      </w:r>
      <w:r>
        <w:rPr>
          <w:rFonts w:hint="eastAsia" w:ascii="宋体" w:hAnsi="宋体" w:cs="宋体"/>
          <w:kern w:val="0"/>
          <w:lang w:val="en-US" w:eastAsia="zh-CN"/>
        </w:rPr>
        <w:t>如有</w:t>
      </w:r>
      <w:r>
        <w:rPr>
          <w:rFonts w:hint="eastAsia" w:ascii="宋体" w:hAnsi="宋体" w:cs="宋体"/>
          <w:kern w:val="0"/>
          <w:lang w:eastAsia="zh-CN"/>
        </w:rPr>
        <w:t>）</w:t>
      </w:r>
    </w:p>
    <w:p>
      <w:pPr>
        <w:pStyle w:val="2"/>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四、报价（实质性要求）</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pPr>
        <w:pStyle w:val="4"/>
        <w:numPr>
          <w:ilvl w:val="0"/>
          <w:numId w:val="0"/>
        </w:numPr>
        <w:spacing w:before="0" w:after="0" w:line="360" w:lineRule="auto"/>
        <w:jc w:val="left"/>
        <w:rPr>
          <w:rFonts w:cs="Times New Roman"/>
        </w:rPr>
      </w:pPr>
      <w:r>
        <w:rPr>
          <w:rFonts w:hint="eastAsia"/>
        </w:rPr>
        <w:t>五、比选申请文件编制、装订及递交</w:t>
      </w:r>
    </w:p>
    <w:p>
      <w:pPr>
        <w:spacing w:line="360" w:lineRule="auto"/>
        <w:ind w:firstLine="470" w:firstLineChars="196"/>
        <w:outlineLvl w:val="2"/>
        <w:rPr>
          <w:rFonts w:ascii="宋体" w:hAnsi="宋体" w:cs="宋体"/>
          <w:b/>
          <w:bCs/>
          <w:color w:val="000000"/>
          <w:sz w:val="24"/>
        </w:rPr>
      </w:pPr>
      <w:r>
        <w:rPr>
          <w:rFonts w:hint="eastAsia" w:ascii="宋体" w:hAnsi="宋体" w:cs="宋体"/>
          <w:b/>
          <w:bCs/>
          <w:color w:val="000000"/>
          <w:sz w:val="24"/>
        </w:rPr>
        <w:t>1、比选申请文件的编制和签署</w:t>
      </w:r>
    </w:p>
    <w:p>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，并在其封面上清楚地标明比选申请文件、采购项目名称、采购项目编号、采购包、供应商名称。</w:t>
      </w:r>
    </w:p>
    <w:p>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1.6比选申请文件正本应当装订成册，不得散装或者活页装订。</w:t>
      </w:r>
    </w:p>
    <w:p>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2、比选申请文件的密封和标注</w:t>
      </w:r>
    </w:p>
    <w:p>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w:t>
      </w:r>
      <w:r>
        <w:rPr>
          <w:rFonts w:hint="eastAsia" w:ascii="宋体" w:hAnsi="宋体" w:cs="宋体"/>
          <w:kern w:val="0"/>
          <w:lang w:val="en-US" w:eastAsia="zh-CN"/>
        </w:rPr>
        <w:t>5</w:t>
      </w:r>
      <w:r>
        <w:rPr>
          <w:rFonts w:hint="eastAsia" w:ascii="宋体" w:hAnsi="宋体" w:cs="宋体"/>
          <w:kern w:val="0"/>
        </w:rPr>
        <w:t>年**月**日**：**前请勿启封”之字样；密封袋供应商名称及密封条处须加盖供应商鲜章。</w:t>
      </w:r>
    </w:p>
    <w:p>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未按以上要求进行密封和标注的比选申请文件，采购人将拒收或者在时间允许的范围内（递交比选申请文件截止时间前），要求修改完善后接收。</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3、比选申请文件的递交</w:t>
      </w:r>
    </w:p>
    <w:p>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3.1比选申请文件应于递交比选申请文件截止时间前送达指定地点，采购人拒绝接收截止时间后送达的比选申请文件。</w:t>
      </w:r>
    </w:p>
    <w:p>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pPr>
        <w:spacing w:line="360" w:lineRule="auto"/>
        <w:ind w:firstLine="420" w:firstLineChars="200"/>
        <w:rPr>
          <w:rFonts w:ascii="宋体" w:hAnsi="宋体" w:cs="宋体"/>
          <w:kern w:val="0"/>
        </w:rPr>
      </w:pPr>
      <w:r>
        <w:rPr>
          <w:rFonts w:hint="eastAsia" w:ascii="宋体" w:hAnsi="宋体" w:cs="宋体"/>
          <w:kern w:val="0"/>
        </w:rPr>
        <w:t>3.3本次采购不接收邮寄的比选申请文件。</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六、无效文件（实质性要求）</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hint="eastAsia" w:ascii="宋体" w:hAnsi="宋体" w:cs="宋体"/>
          <w:kern w:val="0"/>
        </w:rPr>
        <w:t>3、工作内容不满足比选文件基本要求的；</w:t>
      </w:r>
    </w:p>
    <w:p>
      <w:pPr>
        <w:spacing w:line="360" w:lineRule="auto"/>
        <w:ind w:firstLine="403" w:firstLineChars="192"/>
        <w:rPr>
          <w:rFonts w:ascii="宋体"/>
          <w:kern w:val="0"/>
        </w:rPr>
      </w:pPr>
      <w:r>
        <w:rPr>
          <w:rFonts w:hint="eastAsia" w:ascii="宋体" w:hAnsi="宋体" w:cs="宋体"/>
          <w:kern w:val="0"/>
        </w:rPr>
        <w:t>4、有重大技术偏离的；</w:t>
      </w:r>
    </w:p>
    <w:p>
      <w:pPr>
        <w:spacing w:line="360" w:lineRule="auto"/>
        <w:ind w:firstLine="403" w:firstLineChars="192"/>
        <w:rPr>
          <w:rFonts w:ascii="宋体"/>
          <w:kern w:val="0"/>
        </w:rPr>
      </w:pPr>
      <w:r>
        <w:rPr>
          <w:rFonts w:hint="eastAsia" w:ascii="宋体" w:hAnsi="宋体" w:cs="宋体"/>
          <w:kern w:val="0"/>
        </w:rPr>
        <w:t>5、未按比选文件要求比选保证金缴纳凭证的。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9" w:name="_Toc210211733"/>
      <w:bookmarkStart w:id="20" w:name="_Toc115628325"/>
      <w:bookmarkStart w:id="21" w:name="_Toc177466666"/>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本次项目按最低价评标法，评审小组按照报价由低到高的顺序推荐</w:t>
      </w:r>
      <w:r>
        <w:rPr>
          <w:rFonts w:hint="eastAsia" w:ascii="宋体" w:hAnsi="宋体" w:cs="宋体"/>
        </w:rPr>
        <w:t>成交</w:t>
      </w:r>
      <w:r>
        <w:rPr>
          <w:rFonts w:hint="eastAsia" w:ascii="宋体" w:hAnsi="宋体" w:cs="宋体"/>
          <w:kern w:val="0"/>
        </w:rPr>
        <w:t>候选人。</w:t>
      </w:r>
    </w:p>
    <w:p>
      <w:pPr>
        <w:spacing w:line="360" w:lineRule="auto"/>
        <w:ind w:firstLine="420" w:firstLineChars="200"/>
        <w:outlineLvl w:val="2"/>
        <w:rPr>
          <w:rFonts w:ascii="宋体"/>
          <w:b/>
          <w:bCs/>
          <w:kern w:val="0"/>
        </w:rPr>
      </w:pPr>
      <w:r>
        <w:rPr>
          <w:rFonts w:hint="eastAsia" w:ascii="宋体" w:hAnsi="宋体" w:cs="宋体"/>
          <w:b/>
          <w:bCs/>
          <w:kern w:val="0"/>
        </w:rPr>
        <w:t>1、最低价评标法：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如存在不唯一最低价，采取随机抽取的形式产生</w:t>
            </w:r>
            <w:r>
              <w:rPr>
                <w:rFonts w:hint="eastAsia" w:ascii="宋体" w:hAnsi="宋体" w:cs="仿宋"/>
                <w:lang w:eastAsia="zh-CN"/>
              </w:rPr>
              <w:t>成交供应商</w:t>
            </w:r>
            <w:r>
              <w:rPr>
                <w:rFonts w:hint="eastAsia" w:ascii="宋体" w:hAnsi="宋体" w:cs="仿宋"/>
              </w:rPr>
              <w:t>。</w:t>
            </w:r>
          </w:p>
        </w:tc>
      </w:tr>
    </w:tbl>
    <w:p>
      <w:pPr>
        <w:spacing w:line="360" w:lineRule="auto"/>
        <w:ind w:firstLine="403" w:firstLineChars="192"/>
        <w:outlineLvl w:val="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 提供相同品牌产品且通过资格审查、符合性审查的不同供应商参加同一合同项下比选的，按一家供应商计算，评审后价格最低的同品牌供应商获得成交人推荐资格；价格相同的，由采购人采取随机抽取方式确定一个供应商获得成交人推荐资格，其他同品牌供应商不作为成交候选人。</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.2非单一产品采购项目中，多家供应商提供的部分或所有核心产品品牌相同的，视为提供相同品牌产品。</w:t>
      </w:r>
      <w:r>
        <w:rPr>
          <w:rFonts w:hint="eastAsia" w:ascii="宋体" w:hAnsi="宋体" w:cs="宋体"/>
          <w:color w:val="000000" w:themeColor="text1"/>
          <w:kern w:val="0"/>
          <w14:textFill>
            <w14:solidFill>
              <w14:schemeClr w14:val="tx1"/>
            </w14:solidFill>
          </w14:textFill>
        </w:rPr>
        <w:t>本项目核心产品为：</w:t>
      </w:r>
      <w:r>
        <w:rPr>
          <w:rFonts w:hint="eastAsia" w:ascii="宋体" w:hAnsi="宋体" w:cs="宋体"/>
          <w:color w:val="000000" w:themeColor="text1"/>
          <w:kern w:val="0"/>
          <w:lang w:val="en-US" w:eastAsia="zh-CN"/>
          <w14:textFill>
            <w14:solidFill>
              <w14:schemeClr w14:val="tx1"/>
            </w14:solidFill>
          </w14:textFill>
        </w:rPr>
        <w:t>不涉及。</w:t>
      </w:r>
    </w:p>
    <w:p>
      <w:pPr>
        <w:spacing w:line="360" w:lineRule="auto"/>
        <w:ind w:firstLine="403" w:firstLineChars="192"/>
        <w:outlineLvl w:val="2"/>
        <w:rPr>
          <w:rFonts w:ascii="宋体" w:hAnsi="宋体" w:cs="宋体"/>
          <w:b/>
          <w:kern w:val="0"/>
        </w:rPr>
      </w:pPr>
      <w:bookmarkStart w:id="22" w:name="_Toc508279863"/>
      <w:r>
        <w:rPr>
          <w:rFonts w:hint="eastAsia" w:ascii="宋体" w:hAnsi="宋体" w:cs="宋体"/>
          <w:b/>
          <w:kern w:val="0"/>
        </w:rPr>
        <w:t>3、 资格性审查。</w:t>
      </w:r>
      <w:bookmarkEnd w:id="22"/>
    </w:p>
    <w:p>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pPr>
        <w:spacing w:line="360" w:lineRule="auto"/>
        <w:ind w:firstLine="403" w:firstLineChars="192"/>
        <w:rPr>
          <w:rFonts w:ascii="宋体" w:hAnsi="宋体" w:cs="宋体"/>
          <w:kern w:val="0"/>
        </w:rPr>
      </w:pPr>
      <w:bookmarkStart w:id="23"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23"/>
    </w:p>
    <w:p>
      <w:pPr>
        <w:spacing w:line="360" w:lineRule="auto"/>
        <w:ind w:firstLine="403" w:firstLineChars="192"/>
        <w:rPr>
          <w:rFonts w:ascii="宋体" w:hAnsi="宋体" w:cs="宋体"/>
          <w:kern w:val="0"/>
        </w:rPr>
      </w:pPr>
      <w:bookmarkStart w:id="24" w:name="_Toc508279865"/>
      <w:r>
        <w:rPr>
          <w:rFonts w:hint="eastAsia" w:ascii="宋体" w:hAnsi="宋体" w:cs="宋体"/>
          <w:kern w:val="0"/>
        </w:rPr>
        <w:t>3.2资格性审查结束后，出具资格性审查表。</w:t>
      </w:r>
      <w:bookmarkEnd w:id="24"/>
    </w:p>
    <w:p>
      <w:pPr>
        <w:spacing w:line="360" w:lineRule="auto"/>
        <w:ind w:firstLine="403" w:firstLineChars="192"/>
        <w:rPr>
          <w:rFonts w:ascii="宋体" w:hAnsi="宋体" w:cs="宋体"/>
          <w:kern w:val="0"/>
        </w:rPr>
      </w:pPr>
      <w:bookmarkStart w:id="25"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5"/>
    </w:p>
    <w:p>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pPr>
        <w:spacing w:line="360" w:lineRule="auto"/>
        <w:ind w:firstLine="403" w:firstLineChars="192"/>
        <w:rPr>
          <w:rFonts w:ascii="宋体" w:hAnsi="宋体" w:cs="宋体"/>
          <w:kern w:val="0"/>
        </w:rPr>
      </w:pPr>
      <w:bookmarkStart w:id="26" w:name="_Toc508279868"/>
      <w:r>
        <w:rPr>
          <w:rFonts w:hint="eastAsia" w:ascii="宋体" w:hAnsi="宋体" w:cs="宋体"/>
          <w:kern w:val="0"/>
        </w:rPr>
        <w:t>3.4通过资格性审查的供应商不足3家的，终止本次采购活动，并发布终止采购活动公告。</w:t>
      </w:r>
      <w:bookmarkEnd w:id="26"/>
    </w:p>
    <w:p>
      <w:pPr>
        <w:spacing w:line="360" w:lineRule="auto"/>
        <w:ind w:firstLine="403" w:firstLineChars="192"/>
        <w:outlineLvl w:val="2"/>
        <w:rPr>
          <w:rFonts w:ascii="宋体" w:hAnsi="宋体" w:cs="宋体"/>
          <w:b/>
          <w:kern w:val="0"/>
        </w:rPr>
      </w:pPr>
      <w:r>
        <w:rPr>
          <w:rFonts w:hint="eastAsia" w:ascii="宋体" w:hAnsi="宋体" w:cs="宋体"/>
          <w:b/>
          <w:kern w:val="0"/>
        </w:rPr>
        <w:t>4、 最后报价</w:t>
      </w:r>
    </w:p>
    <w:p>
      <w:pPr>
        <w:spacing w:line="360" w:lineRule="auto"/>
        <w:ind w:firstLine="403" w:firstLineChars="192"/>
        <w:rPr>
          <w:rFonts w:ascii="宋体" w:hAnsi="宋体" w:cs="宋体"/>
          <w:kern w:val="0"/>
        </w:rPr>
      </w:pPr>
      <w:r>
        <w:rPr>
          <w:rFonts w:hint="eastAsia" w:ascii="宋体" w:hAnsi="宋体" w:cs="宋体"/>
          <w:kern w:val="0"/>
        </w:rPr>
        <w:t>4.1资格审查结束后，评审小组应当要求所有实质性响应的供应商在规定时间内提交最后报价，提交最后报价的供应商不得少于3家。</w:t>
      </w:r>
    </w:p>
    <w:p>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outlineLvl w:val="2"/>
        <w:rPr>
          <w:rFonts w:ascii="宋体" w:hAnsi="宋体" w:cs="宋体"/>
          <w:b/>
          <w:kern w:val="0"/>
        </w:rPr>
      </w:pPr>
      <w:r>
        <w:rPr>
          <w:rFonts w:hint="eastAsia" w:ascii="宋体" w:hAnsi="宋体" w:cs="宋体"/>
          <w:b/>
          <w:kern w:val="0"/>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ascii="宋体" w:hAnsi="宋体" w:cs="宋体"/>
          <w:kern w:val="0"/>
        </w:rPr>
      </w:pPr>
      <w:r>
        <w:rPr>
          <w:rFonts w:hint="eastAsia" w:ascii="宋体" w:hAnsi="宋体" w:cs="宋体"/>
          <w:kern w:val="0"/>
        </w:rPr>
        <w:t>（1）邀请供应商参加采购活动的具体方式和相关情况，以及参加采购活动的供应商名单；</w:t>
      </w:r>
    </w:p>
    <w:p>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pPr>
        <w:spacing w:line="360" w:lineRule="auto"/>
        <w:ind w:firstLine="403" w:firstLineChars="192"/>
        <w:rPr>
          <w:rFonts w:ascii="宋体" w:hAnsi="宋体" w:cs="宋体"/>
          <w:kern w:val="0"/>
        </w:rPr>
      </w:pPr>
      <w:r>
        <w:rPr>
          <w:rFonts w:hint="eastAsia" w:ascii="宋体" w:hAnsi="宋体" w:cs="宋体"/>
          <w:kern w:val="0"/>
        </w:rPr>
        <w:t>（4）推荐的成交候选人的名单。</w:t>
      </w:r>
    </w:p>
    <w:p>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outlineLvl w:val="2"/>
        <w:rPr>
          <w:rFonts w:ascii="宋体" w:hAnsi="宋体" w:cs="宋体"/>
          <w:b/>
          <w:kern w:val="0"/>
        </w:rPr>
      </w:pPr>
      <w:r>
        <w:rPr>
          <w:rFonts w:hint="eastAsia" w:ascii="宋体" w:hAnsi="宋体" w:cs="宋体"/>
          <w:b/>
          <w:kern w:val="0"/>
        </w:rPr>
        <w:t>6、供应商澄清、说明</w:t>
      </w:r>
    </w:p>
    <w:p>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11"/>
      <w:bookmarkEnd w:id="12"/>
      <w:bookmarkEnd w:id="13"/>
      <w:bookmarkEnd w:id="14"/>
      <w:bookmarkEnd w:id="19"/>
      <w:bookmarkEnd w:id="20"/>
      <w:bookmarkEnd w:id="21"/>
      <w:bookmarkStart w:id="27" w:name="_Toc173895842"/>
      <w:bookmarkStart w:id="28" w:name="_Toc180296784"/>
      <w:bookmarkStart w:id="29" w:name="_Toc173895657"/>
      <w:bookmarkStart w:id="30" w:name="_Toc211679181"/>
    </w:p>
    <w:p>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7"/>
      <w:bookmarkEnd w:id="28"/>
      <w:bookmarkEnd w:id="29"/>
      <w:bookmarkEnd w:id="30"/>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ascii="仿宋" w:hAnsi="仿宋" w:eastAsia="仿宋" w:cs="仿宋"/>
          <w:sz w:val="24"/>
          <w:szCs w:val="24"/>
        </w:rPr>
        <w:t>★</w:t>
      </w:r>
      <w:r>
        <w:rPr>
          <w:rFonts w:hint="eastAsia"/>
        </w:rPr>
        <w:t>一、项目概况</w:t>
      </w:r>
    </w:p>
    <w:p>
      <w:pPr>
        <w:spacing w:after="156" w:afterLines="50" w:line="420" w:lineRule="exact"/>
        <w:ind w:firstLine="404" w:firstLineChars="200"/>
        <w:rPr>
          <w:rFonts w:hint="eastAsia" w:hAnsi="宋体"/>
          <w:kern w:val="0"/>
        </w:rPr>
      </w:pPr>
      <w:r>
        <w:rPr>
          <w:rFonts w:hint="eastAsia" w:ascii="宋体" w:hAnsi="宋体" w:cs="宋体"/>
          <w:spacing w:val="-4"/>
        </w:rPr>
        <w:t>本项目共1个包，</w:t>
      </w:r>
      <w:r>
        <w:rPr>
          <w:rFonts w:hint="eastAsia" w:hAnsi="宋体"/>
          <w:kern w:val="0"/>
          <w:lang w:val="en-US" w:eastAsia="zh-CN"/>
        </w:rPr>
        <w:t>资阳市中心医院第二住院楼四楼监管病房改造项目（第二次）</w:t>
      </w:r>
      <w:r>
        <w:rPr>
          <w:rFonts w:hint="eastAsia" w:ascii="宋体" w:hAnsi="宋体" w:cs="宋体"/>
          <w:spacing w:val="-4"/>
        </w:rPr>
        <w:t>。</w:t>
      </w:r>
      <w:r>
        <w:rPr>
          <w:rFonts w:hint="eastAsia" w:hAnsi="宋体"/>
          <w:kern w:val="0"/>
        </w:rPr>
        <w:t>本项目最高限价</w:t>
      </w:r>
      <w:r>
        <w:rPr>
          <w:rFonts w:hint="eastAsia" w:hAnsi="宋体"/>
          <w:kern w:val="0"/>
          <w:lang w:val="en-US" w:eastAsia="zh-CN"/>
        </w:rPr>
        <w:t>29865.13元。</w:t>
      </w:r>
      <w:r>
        <w:rPr>
          <w:rFonts w:hint="eastAsia" w:hAnsi="宋体"/>
          <w:kern w:val="0"/>
        </w:rPr>
        <w:t>超过最高限价的报价为无效响应。</w:t>
      </w:r>
    </w:p>
    <w:p>
      <w:pPr>
        <w:pStyle w:val="4"/>
        <w:numPr>
          <w:ilvl w:val="0"/>
          <w:numId w:val="0"/>
        </w:numPr>
        <w:spacing w:before="0" w:after="0" w:line="336" w:lineRule="auto"/>
        <w:jc w:val="left"/>
        <w:rPr>
          <w:rFonts w:ascii="宋体"/>
          <w:b/>
          <w:bCs/>
        </w:rPr>
      </w:pPr>
      <w:r>
        <w:rPr>
          <w:rFonts w:hint="eastAsia"/>
        </w:rPr>
        <w:t>★二、商务要求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（一）交付地点：资阳市高新区仁德西路66号院区第二住院楼四楼。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（二）施工工期：收到采购人通知后15天内完工（不可抗力因素除外）。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（三）付款方法和条件：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1.改造完成后经</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验收合格，中选人按实际工程量编制竣工结算清单，经</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协议审计公司审计后，中选人按审定金额开具全额有效发票，</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在收到发票后30个工作日内全额支付。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b/>
          <w:bCs/>
        </w:rPr>
      </w:pPr>
      <w:r>
        <w:rPr>
          <w:rFonts w:hint="eastAsia" w:ascii="宋体" w:hAnsi="宋体" w:eastAsia="宋体" w:cs="宋体"/>
          <w:b w:val="0"/>
          <w:bCs w:val="0"/>
          <w:color w:val="auto"/>
          <w:sz w:val="21"/>
          <w:szCs w:val="21"/>
          <w:lang w:val="en-US" w:eastAsia="zh-CN"/>
        </w:rPr>
        <w:t>2.中选人应向采购人出具合法有效完整的完税发票及凭证资料进行支付结算，资料不齐全的采购人有权拒绝付款且不承担违约责任。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bookmarkStart w:id="31" w:name="OLE_LINK8"/>
      <w:r>
        <w:rPr>
          <w:rFonts w:hint="eastAsia" w:ascii="宋体" w:hAnsi="宋体"/>
          <w:b/>
          <w:lang w:val="en-US" w:eastAsia="zh-CN"/>
        </w:rPr>
        <w:t>（四）</w:t>
      </w:r>
      <w:bookmarkEnd w:id="31"/>
      <w:r>
        <w:rPr>
          <w:rFonts w:hint="eastAsia" w:ascii="宋体" w:hAnsi="宋体"/>
          <w:b/>
          <w:lang w:val="en-US" w:eastAsia="zh-CN"/>
        </w:rPr>
        <w:t>报价要求：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kern w:val="0"/>
          <w:lang w:val="en-US" w:eastAsia="zh-CN"/>
        </w:rPr>
      </w:pPr>
      <w:r>
        <w:rPr>
          <w:rFonts w:hint="eastAsia" w:hAnsi="宋体"/>
          <w:kern w:val="0"/>
          <w:lang w:val="en-US" w:eastAsia="zh-CN"/>
        </w:rPr>
        <w:t>本项目为包干价，包括货物、材料、运输、施工、人工、税费等，采购人不承担除中选价外的其他费用。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（五）验收标准和方法：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宋体" w:eastAsia="宋体" w:cs="Times New Roman"/>
          <w:kern w:val="0"/>
          <w:lang w:val="en-US" w:eastAsia="zh-CN"/>
        </w:rPr>
      </w:pP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val="en-US" w:eastAsia="zh-CN"/>
        </w:rPr>
        <w:t>.本</w:t>
      </w:r>
      <w:r>
        <w:rPr>
          <w:rFonts w:hint="eastAsia" w:ascii="Times New Roman" w:hAnsi="宋体" w:eastAsia="宋体" w:cs="Times New Roman"/>
          <w:kern w:val="0"/>
          <w:lang w:val="en-US" w:eastAsia="zh-CN"/>
        </w:rPr>
        <w:t>项目</w:t>
      </w:r>
      <w:r>
        <w:rPr>
          <w:rFonts w:hint="eastAsia" w:hAnsi="宋体" w:cs="Times New Roman"/>
          <w:kern w:val="0"/>
          <w:lang w:val="en-US" w:eastAsia="zh-CN"/>
        </w:rPr>
        <w:t>竣工</w:t>
      </w:r>
      <w:r>
        <w:rPr>
          <w:rFonts w:hint="eastAsia" w:ascii="Times New Roman" w:hAnsi="宋体" w:eastAsia="宋体" w:cs="Times New Roman"/>
          <w:kern w:val="0"/>
          <w:lang w:val="en-US" w:eastAsia="zh-CN"/>
        </w:rPr>
        <w:t>后，参照《财政部关于进一步加强政府采购需求和履约验收管理的指导意见》（财库〔2016〕205号）及本项目招标文件、响应文件要求及合同承诺的内容进行验收。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b/>
          <w:lang w:val="en-US" w:eastAsia="zh-CN"/>
        </w:rPr>
      </w:pPr>
      <w:r>
        <w:rPr>
          <w:rFonts w:hint="eastAsia" w:ascii="宋体" w:hAnsi="宋体"/>
          <w:b/>
          <w:lang w:val="en-US" w:eastAsia="zh-CN"/>
        </w:rPr>
        <w:t>（六）</w:t>
      </w:r>
      <w:r>
        <w:rPr>
          <w:rFonts w:hint="eastAsia" w:ascii="宋体" w:hAnsi="宋体" w:eastAsia="宋体" w:cs="Times New Roman"/>
          <w:b/>
          <w:lang w:val="en-US" w:eastAsia="zh-CN"/>
        </w:rPr>
        <w:t>安全生产管理：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宋体" w:eastAsia="宋体" w:cs="Times New Roman"/>
          <w:kern w:val="0"/>
          <w:lang w:val="en-US" w:eastAsia="zh-CN"/>
        </w:rPr>
      </w:pPr>
      <w:r>
        <w:rPr>
          <w:rFonts w:hint="eastAsia" w:ascii="Times New Roman" w:hAnsi="宋体" w:eastAsia="宋体" w:cs="Times New Roman"/>
          <w:kern w:val="0"/>
          <w:lang w:val="en-US" w:eastAsia="zh-CN"/>
        </w:rPr>
        <w:t>如因用工不当，给采购人及服务人员造成的损失由中选人承担；</w:t>
      </w:r>
      <w:r>
        <w:rPr>
          <w:rFonts w:hint="eastAsia" w:hAnsi="宋体" w:cs="Times New Roman"/>
          <w:kern w:val="0"/>
          <w:lang w:val="en-US" w:eastAsia="zh-CN"/>
        </w:rPr>
        <w:t>施工</w:t>
      </w:r>
      <w:r>
        <w:rPr>
          <w:rFonts w:hint="eastAsia" w:ascii="Times New Roman" w:hAnsi="宋体" w:eastAsia="宋体" w:cs="Times New Roman"/>
          <w:kern w:val="0"/>
          <w:lang w:val="en-US" w:eastAsia="zh-CN"/>
        </w:rPr>
        <w:t>人员在</w:t>
      </w:r>
      <w:r>
        <w:rPr>
          <w:rFonts w:hint="eastAsia" w:hAnsi="宋体" w:cs="Times New Roman"/>
          <w:kern w:val="0"/>
          <w:lang w:val="en-US" w:eastAsia="zh-CN"/>
        </w:rPr>
        <w:t>施工</w:t>
      </w:r>
      <w:r>
        <w:rPr>
          <w:rFonts w:hint="eastAsia" w:ascii="Times New Roman" w:hAnsi="宋体" w:eastAsia="宋体" w:cs="Times New Roman"/>
          <w:kern w:val="0"/>
          <w:lang w:val="en-US" w:eastAsia="zh-CN"/>
        </w:rPr>
        <w:t>期间发生伤亡事故，或在</w:t>
      </w:r>
      <w:r>
        <w:rPr>
          <w:rFonts w:hint="eastAsia" w:hAnsi="宋体" w:cs="Times New Roman"/>
          <w:kern w:val="0"/>
          <w:lang w:val="en-US" w:eastAsia="zh-CN"/>
        </w:rPr>
        <w:t>施工</w:t>
      </w:r>
      <w:r>
        <w:rPr>
          <w:rFonts w:hint="eastAsia" w:ascii="Times New Roman" w:hAnsi="宋体" w:eastAsia="宋体" w:cs="Times New Roman"/>
          <w:kern w:val="0"/>
          <w:lang w:val="en-US" w:eastAsia="zh-CN"/>
        </w:rPr>
        <w:t>过程中造成第三人伤亡的，责任由中选人承担。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宋体" w:eastAsia="宋体" w:cs="Times New Roman"/>
          <w:kern w:val="0"/>
          <w:lang w:val="en-US" w:eastAsia="zh-CN"/>
        </w:rPr>
      </w:pPr>
      <w:r>
        <w:rPr>
          <w:rFonts w:hint="eastAsia" w:ascii="Times New Roman" w:hAnsi="宋体" w:eastAsia="宋体" w:cs="Times New Roman"/>
          <w:kern w:val="0"/>
          <w:lang w:val="en-US" w:eastAsia="zh-CN"/>
        </w:rPr>
        <w:t>（1）中选人必须遵守有关安全生产的法律、法规及采购人相关安全生产管理规定，加强安全生产管理，中选人为该项目的安全责任人，建立、健全安全生产责任制度，完善安全生产条件，确保安全生产。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宋体" w:eastAsia="宋体" w:cs="Times New Roman"/>
          <w:kern w:val="0"/>
          <w:lang w:val="en-US" w:eastAsia="zh-CN"/>
        </w:rPr>
      </w:pPr>
      <w:r>
        <w:rPr>
          <w:rFonts w:hint="eastAsia" w:ascii="Times New Roman" w:hAnsi="宋体" w:eastAsia="宋体" w:cs="Times New Roman"/>
          <w:kern w:val="0"/>
          <w:lang w:val="en-US" w:eastAsia="zh-CN"/>
        </w:rPr>
        <w:t>（2）中选人在项目</w:t>
      </w:r>
      <w:r>
        <w:rPr>
          <w:rFonts w:hint="eastAsia" w:hAnsi="宋体" w:cs="Times New Roman"/>
          <w:kern w:val="0"/>
          <w:lang w:val="en-US" w:eastAsia="zh-CN"/>
        </w:rPr>
        <w:t>运输、施工</w:t>
      </w:r>
      <w:r>
        <w:rPr>
          <w:rFonts w:hint="eastAsia" w:ascii="Times New Roman" w:hAnsi="宋体" w:eastAsia="宋体" w:cs="Times New Roman"/>
          <w:kern w:val="0"/>
          <w:lang w:val="en-US" w:eastAsia="zh-CN"/>
        </w:rPr>
        <w:t>、安装期间，中选人所发生的和因中选人引起的一切安全事故或劳动纠纷等，其责任均由中选人单方承担，与采购人无关。且不得因此影响项目进度</w:t>
      </w:r>
      <w:r>
        <w:rPr>
          <w:rFonts w:hint="eastAsia" w:hAnsi="宋体" w:cs="Times New Roman"/>
          <w:kern w:val="0"/>
          <w:lang w:val="en-US"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Times New Roman"/>
          <w:b/>
          <w:lang w:val="en-US" w:eastAsia="zh-CN"/>
        </w:rPr>
        <w:t>（</w:t>
      </w:r>
      <w:r>
        <w:rPr>
          <w:rFonts w:hint="eastAsia" w:ascii="宋体" w:hAnsi="宋体" w:cs="Times New Roman"/>
          <w:b/>
          <w:lang w:val="en-US" w:eastAsia="zh-CN"/>
        </w:rPr>
        <w:t>七</w:t>
      </w:r>
      <w:r>
        <w:rPr>
          <w:rFonts w:hint="eastAsia" w:ascii="宋体" w:hAnsi="宋体" w:eastAsia="宋体" w:cs="Times New Roman"/>
          <w:b/>
          <w:lang w:val="en-US" w:eastAsia="zh-CN"/>
        </w:rPr>
        <w:t>）</w:t>
      </w:r>
      <w:r>
        <w:rPr>
          <w:rFonts w:hint="eastAsia" w:ascii="宋体" w:hAnsi="宋体"/>
          <w:b/>
          <w:lang w:val="en-US" w:eastAsia="zh-CN"/>
        </w:rPr>
        <w:t>合同在履行中发生争议解决办法</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val="en-US" w:eastAsia="zh-CN"/>
        </w:rPr>
        <w:t>解决争议的方法：若双方发生争议，可协商或由有关部门调解解决，协商或调解不成的，向采购人所在地人民法院起诉。</w:t>
      </w:r>
    </w:p>
    <w:p>
      <w:pPr>
        <w:spacing w:line="500" w:lineRule="exac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★三、技术参数要求</w:t>
      </w:r>
    </w:p>
    <w:p>
      <w:pPr>
        <w:pStyle w:val="2"/>
        <w:rPr>
          <w:rFonts w:hint="eastAsia"/>
          <w:lang w:val="en-US" w:eastAsia="zh-CN"/>
        </w:rPr>
      </w:pPr>
      <w:r>
        <w:rPr>
          <w:rFonts w:hint="eastAsia"/>
          <w:lang w:val="en-US" w:eastAsia="zh-CN"/>
        </w:rPr>
        <w:t>包号：01包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b/>
          <w:lang w:val="en-US" w:eastAsia="zh-CN"/>
        </w:rPr>
      </w:pPr>
      <w:r>
        <w:rPr>
          <w:rFonts w:hint="eastAsia" w:ascii="宋体" w:hAnsi="宋体"/>
          <w:b/>
          <w:lang w:val="en-US" w:eastAsia="zh-CN"/>
        </w:rPr>
        <w:t>（一）工程量清单</w:t>
      </w:r>
    </w:p>
    <w:tbl>
      <w:tblPr>
        <w:tblStyle w:val="28"/>
        <w:tblW w:w="90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509"/>
        <w:gridCol w:w="4670"/>
        <w:gridCol w:w="1092"/>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项目特征及工作内容</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3"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零星标砖砌筑</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1.零星砌体MU10标砖砌筑、M7.5水泥砂浆砌筑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2.标砖尺寸240*115*53</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3.砂浆拌合、砌砖、勾缝、材料运输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4.部位：隔墙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5.门头.窗口过梁加固50*50角钢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6.横向植筋加固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7.修补因拆除卫生间门及门套产生的墙体破损</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内墙面</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1.新建隔墙及原墙刮白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2.铲除破损陈旧乳胶漆及基层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3.界面剂一道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4.打磨找平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5.内墙面刷乳胶漆(满刮腻子二遍、二遍涂料成活)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6.防盗门.卫生间门.地面.窗户等成品保护（薄膜覆盖不干胶固定）</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不锈钢栏杆</w:t>
            </w:r>
          </w:p>
        </w:tc>
        <w:tc>
          <w:tcPr>
            <w:tcW w:w="467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1.φ20不锈钢圆管壁厚1.5mm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2.15*25不锈钢方管壁厚1.5mm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3.制作防护栏杆（横向间距100竖向间距300）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4.平头螺帽安装，打磨至无明显尖锐凸起</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钢质防盗门</w:t>
            </w:r>
          </w:p>
        </w:tc>
        <w:tc>
          <w:tcPr>
            <w:tcW w:w="467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1.钢质防盗门蜂窝纸板填充。乙级，全套，带单面门套（无观察窗）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尺寸1100*2400*120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2.安装</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卫生间门</w:t>
            </w:r>
          </w:p>
        </w:tc>
        <w:tc>
          <w:tcPr>
            <w:tcW w:w="467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1.铝合金平开门.带单面门套，无任何锁具（安全需要不带锁具），无观察窗。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2.拆除原有钢木卫生间门及门套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3.找平.吊线.安装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4.尺寸900*2000*50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不锈钢窗套</w:t>
            </w:r>
          </w:p>
        </w:tc>
        <w:tc>
          <w:tcPr>
            <w:tcW w:w="467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1.0.8MM不锈钢板制作窗内四方套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2.安装打磨至无明显尖锐凸起</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指纹密码锁</w:t>
            </w:r>
          </w:p>
        </w:tc>
        <w:tc>
          <w:tcPr>
            <w:tcW w:w="467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1.指纹密码锁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2.单向解锁2套，双向解锁2套。密码，密匙，机械三功能开启型（禁用人脸识别，语音识别，远程操控功能）</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材料运输</w:t>
            </w:r>
          </w:p>
        </w:tc>
        <w:tc>
          <w:tcPr>
            <w:tcW w:w="467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1.人工搬运腻子、标砖、水泥、细沙、脚手架等至施工区域</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建渣处理</w:t>
            </w:r>
          </w:p>
        </w:tc>
        <w:tc>
          <w:tcPr>
            <w:tcW w:w="467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1.现场建渣清理人工搬运下楼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2.装车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3.车辆运费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4.指定堆场场地费</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bl>
    <w:p>
      <w:pPr>
        <w:widowControl/>
        <w:jc w:val="left"/>
        <w:rPr>
          <w:rFonts w:hint="eastAsia" w:ascii="宋体" w:hAnsi="宋体" w:eastAsia="宋体" w:cs="宋体"/>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32" w:name="_Toc180296788"/>
      <w:bookmarkStart w:id="33" w:name="_Toc173895658"/>
      <w:bookmarkStart w:id="34" w:name="_Toc173895846"/>
      <w:bookmarkStart w:id="35" w:name="_Toc211679185"/>
      <w:r>
        <w:rPr>
          <w:rFonts w:hint="eastAsia" w:ascii="宋体" w:hAnsi="宋体" w:cs="宋体"/>
          <w:b/>
          <w:bCs/>
          <w:kern w:val="44"/>
          <w:sz w:val="32"/>
          <w:szCs w:val="32"/>
        </w:rPr>
        <w:t>比选申请文件的相关格式</w:t>
      </w:r>
      <w:bookmarkEnd w:id="32"/>
      <w:bookmarkEnd w:id="33"/>
      <w:bookmarkEnd w:id="34"/>
      <w:r>
        <w:rPr>
          <w:rFonts w:hint="eastAsia" w:ascii="宋体" w:hAnsi="宋体" w:cs="宋体"/>
          <w:b/>
          <w:bCs/>
          <w:kern w:val="44"/>
          <w:sz w:val="32"/>
          <w:szCs w:val="32"/>
        </w:rPr>
        <w:t>及要求</w:t>
      </w:r>
      <w:bookmarkEnd w:id="35"/>
      <w:bookmarkStart w:id="36" w:name="_Toc211679186"/>
      <w:bookmarkStart w:id="37" w:name="_Toc173895847"/>
      <w:bookmarkStart w:id="38" w:name="_Toc180296789"/>
      <w:bookmarkStart w:id="39" w:name="_Toc173895659"/>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资阳市中心医院：</w:t>
      </w:r>
    </w:p>
    <w:p>
      <w:pPr>
        <w:spacing w:line="360" w:lineRule="auto"/>
        <w:ind w:firstLine="388" w:firstLineChars="185"/>
        <w:rPr>
          <w:rFonts w:ascii="宋体"/>
        </w:rPr>
      </w:pPr>
      <w:r>
        <w:rPr>
          <w:rFonts w:hint="eastAsia" w:ascii="宋体" w:hAnsi="宋体" w:cs="宋体"/>
        </w:rPr>
        <w:t>（</w:t>
      </w:r>
      <w:r>
        <w:rPr>
          <w:rFonts w:hint="eastAsia" w:ascii="宋体" w:hAnsi="宋体" w:cs="宋体"/>
          <w:lang w:eastAsia="zh-CN"/>
        </w:rPr>
        <w:t>比选申请人</w:t>
      </w:r>
      <w:r>
        <w:rPr>
          <w:rFonts w:hint="eastAsia" w:ascii="宋体" w:hAnsi="宋体" w:cs="宋体"/>
        </w:rPr>
        <w:t>全称）法定代表人授权为我公司代理人，参加贵单位组织的（比选项目名称）采购活动。代理人在本次参加货物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lang w:eastAsia="zh-CN"/>
        </w:rPr>
        <w:t>比选申请人</w:t>
      </w:r>
      <w:r>
        <w:rPr>
          <w:rFonts w:hint="eastAsia" w:ascii="宋体" w:hAnsi="宋体" w:cs="宋体"/>
        </w:rPr>
        <w:t>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w:t>
      </w:r>
      <w:r>
        <w:rPr>
          <w:rFonts w:hint="eastAsia" w:ascii="宋体" w:hAnsi="宋体" w:cs="宋体"/>
          <w:kern w:val="0"/>
          <w:lang w:eastAsia="zh-CN"/>
        </w:rPr>
        <w:t>比选申请人</w:t>
      </w:r>
      <w:r>
        <w:rPr>
          <w:rFonts w:hint="eastAsia" w:ascii="宋体" w:hAnsi="宋体" w:cs="宋体"/>
          <w:kern w:val="0"/>
        </w:rPr>
        <w:t>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hint="eastAsia"/>
        </w:rPr>
      </w:pPr>
      <w:r>
        <w:rPr>
          <w:rFonts w:hint="eastAsia"/>
        </w:rPr>
        <w:t>二、报价一览表</w:t>
      </w:r>
    </w:p>
    <w:p>
      <w:pPr>
        <w:pStyle w:val="16"/>
        <w:spacing w:line="360" w:lineRule="auto"/>
      </w:pPr>
      <w:r>
        <w:rPr>
          <w:rFonts w:hint="eastAsia"/>
        </w:rPr>
        <w:t>包号：01包</w:t>
      </w:r>
    </w:p>
    <w:tbl>
      <w:tblPr>
        <w:tblStyle w:val="28"/>
        <w:tblW w:w="5028"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221"/>
        <w:gridCol w:w="3491"/>
        <w:gridCol w:w="742"/>
        <w:gridCol w:w="667"/>
        <w:gridCol w:w="1288"/>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项目特征及工作内容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综合单价（元）</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零星标砖砌筑</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1.零星砌体MU10标砖砌筑、M7.5水泥砂浆砌筑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2.标砖尺寸240*115*53</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3.砂浆拌合、砌砖、勾缝、材料运输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4.部位：隔墙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5.门头.窗口过梁加固50*50角钢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6.横向植筋加固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7.修补因拆除卫生间门及门套产生的墙体破损</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内墙面</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1.新建隔墙及原墙刮白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2.铲除破损陈旧乳胶漆及基层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3.界面剂一道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4.打磨找平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5.内墙面刷乳胶漆(满刮腻子二遍、二遍涂料成活)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6.防盗门.卫生间门.地面.窗户等成品保护（薄膜覆盖不干胶固定）</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不锈钢栏杆</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1.φ20不锈钢圆管壁厚1.5mm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2.15*25不锈钢方管壁厚1.5mm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3.制作防护栏杆（横向间距100竖向间距300）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4.平头螺帽安装，打磨至无明显尖锐凸起</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钢质防盗门</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1.钢质防盗门蜂窝纸板填充。乙级，全套，带单面门套（无观察窗）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尺寸1100*2400*120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2.安装</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卫生间门</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1.铝合金平开门.带单面门套，无任何锁具（安全需要不带锁具），无观察窗。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2.拆除原有钢木卫生间门及门套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3.找平.吊线.安装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4.尺寸900*2000*50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不锈钢窗套</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1.0.8MM不锈钢板制作窗内四方套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2.安装打磨至无明显尖锐凸起</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指纹密码锁</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1.指纹密码锁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2.单向解锁2套，双向解锁2套。密码，密匙，机械三功能开启型（禁用人脸识别，语音识别，远程操控功能）</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材料运输</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1.人工搬运腻子、标砖、水泥、细沙、脚手架等至施工区域</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建渣处理</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1.现场建渣清理人工搬运下楼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2.装车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3.车辆运费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4.指定堆场场地费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trPr>
        <w:tc>
          <w:tcPr>
            <w:tcW w:w="5288"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税率9</w:t>
            </w:r>
            <w:r>
              <w:rPr>
                <w:rFonts w:hint="eastAsia" w:ascii="宋体" w:hAnsi="宋体" w:cs="宋体"/>
                <w:i w:val="0"/>
                <w:iCs w:val="0"/>
                <w:color w:val="000000"/>
                <w:kern w:val="0"/>
                <w:sz w:val="22"/>
                <w:szCs w:val="22"/>
                <w:u w:val="none"/>
                <w:lang w:val="en-US" w:eastAsia="zh-CN" w:bidi="ar"/>
              </w:rPr>
              <w:t>％</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小写（元）：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大写：         </w:t>
            </w:r>
          </w:p>
        </w:tc>
      </w:tr>
    </w:tbl>
    <w:p/>
    <w:p>
      <w:pPr>
        <w:spacing w:line="360" w:lineRule="auto"/>
        <w:ind w:firstLine="420" w:firstLineChars="200"/>
        <w:jc w:val="left"/>
        <w:rPr>
          <w:rFonts w:ascii="宋体" w:hAnsi="宋体"/>
          <w:kern w:val="0"/>
        </w:rPr>
      </w:pPr>
      <w:r>
        <w:rPr>
          <w:rFonts w:hint="eastAsia" w:ascii="宋体" w:hAnsi="宋体"/>
          <w:kern w:val="0"/>
        </w:rPr>
        <w:t>注：1、报价应</w:t>
      </w:r>
      <w:r>
        <w:rPr>
          <w:rFonts w:hint="eastAsia" w:ascii="宋体" w:hAnsi="宋体" w:eastAsia="宋体" w:cs="Times New Roman"/>
          <w:kern w:val="0"/>
        </w:rPr>
        <w:t>是</w:t>
      </w:r>
      <w:r>
        <w:rPr>
          <w:rFonts w:hint="eastAsia" w:ascii="宋体" w:hAnsi="宋体"/>
          <w:kern w:val="0"/>
        </w:rPr>
        <w:t>最终用户验收合格后的总价，包括货物</w:t>
      </w:r>
      <w:r>
        <w:rPr>
          <w:rFonts w:hint="eastAsia" w:hAnsi="宋体"/>
          <w:kern w:val="0"/>
          <w:lang w:val="en-US" w:eastAsia="zh-CN"/>
        </w:rPr>
        <w:t>货物、材料、运输、施工、人工、税费</w:t>
      </w:r>
      <w:r>
        <w:rPr>
          <w:rFonts w:hint="eastAsia" w:ascii="宋体" w:hAnsi="宋体"/>
          <w:kern w:val="0"/>
        </w:rPr>
        <w:t>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lang w:eastAsia="zh-CN"/>
        </w:rPr>
        <w:t>比选申请人</w:t>
      </w:r>
      <w:r>
        <w:rPr>
          <w:rFonts w:hint="eastAsia" w:ascii="宋体" w:hAnsi="宋体" w:cs="宋体"/>
          <w:kern w:val="0"/>
        </w:rPr>
        <w:t>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6"/>
      <w:bookmarkEnd w:id="37"/>
      <w:bookmarkEnd w:id="38"/>
      <w:bookmarkEnd w:id="39"/>
      <w:r>
        <w:rPr>
          <w:rFonts w:hint="eastAsia"/>
          <w:lang w:eastAsia="zh-CN"/>
        </w:rPr>
        <w:t>比选申请人</w:t>
      </w:r>
      <w:r>
        <w:rPr>
          <w:rFonts w:hint="eastAsia"/>
        </w:rPr>
        <w:t>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w:t>
      </w:r>
      <w:r>
        <w:rPr>
          <w:rFonts w:hint="eastAsia" w:hAnsi="宋体"/>
          <w:kern w:val="0"/>
          <w:u w:val="single"/>
          <w:lang w:eastAsia="zh-CN"/>
        </w:rPr>
        <w:t>比选申请人</w:t>
      </w:r>
      <w:r>
        <w:rPr>
          <w:rFonts w:hint="eastAsia" w:hAnsi="宋体"/>
          <w:kern w:val="0"/>
          <w:u w:val="single"/>
        </w:rPr>
        <w:t>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hint="eastAsia" w:ascii="宋体" w:hAnsi="宋体" w:cs="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lang w:eastAsia="zh-CN"/>
        </w:rPr>
        <w:t>比选申请人</w:t>
      </w:r>
      <w:r>
        <w:rPr>
          <w:rFonts w:hint="eastAsia" w:ascii="宋体" w:hAnsi="宋体" w:cs="宋体"/>
          <w:kern w:val="0"/>
        </w:rPr>
        <w:t>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40" w:name="_Toc185047520"/>
      <w:bookmarkStart w:id="41" w:name="_Toc518397160"/>
      <w:bookmarkStart w:id="42" w:name="_Toc518397109"/>
      <w:r>
        <w:br w:type="page"/>
      </w:r>
      <w:r>
        <w:rPr>
          <w:rFonts w:hint="eastAsia"/>
        </w:rPr>
        <w:t>五、</w:t>
      </w:r>
      <w:bookmarkEnd w:id="40"/>
      <w:bookmarkEnd w:id="41"/>
      <w:bookmarkEnd w:id="42"/>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w:t>
      </w:r>
      <w:r>
        <w:rPr>
          <w:rFonts w:hint="eastAsia"/>
          <w:kern w:val="0"/>
        </w:rPr>
        <w:t>技术要求</w:t>
      </w:r>
      <w:r>
        <w:rPr>
          <w:rFonts w:hint="eastAsia"/>
        </w:rPr>
        <w:t>应答表</w:t>
      </w:r>
    </w:p>
    <w:p>
      <w:pPr>
        <w:pStyle w:val="16"/>
        <w:spacing w:line="360" w:lineRule="auto"/>
        <w:rPr>
          <w:rFonts w:hint="default" w:hAnsi="宋体" w:eastAsia="宋体"/>
          <w:lang w:val="en-US" w:eastAsia="zh-CN"/>
        </w:rPr>
      </w:pPr>
      <w:r>
        <w:rPr>
          <w:rFonts w:hint="eastAsia" w:hAnsi="宋体"/>
          <w:kern w:val="0"/>
        </w:rPr>
        <w:t>包号：</w:t>
      </w:r>
      <w:r>
        <w:rPr>
          <w:rFonts w:hint="eastAsia" w:hAnsi="宋体"/>
          <w:kern w:val="0"/>
          <w:lang w:val="en-US" w:eastAsia="zh-CN"/>
        </w:rPr>
        <w:t>01包</w:t>
      </w:r>
    </w:p>
    <w:tbl>
      <w:tblPr>
        <w:tblStyle w:val="2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pPr>
              <w:pStyle w:val="56"/>
              <w:rPr>
                <w:rFonts w:ascii="宋体" w:hAnsi="宋体"/>
                <w:sz w:val="21"/>
                <w:szCs w:val="21"/>
              </w:rPr>
            </w:pPr>
            <w:r>
              <w:rPr>
                <w:rFonts w:hint="eastAsia" w:ascii="宋体" w:hAnsi="宋体"/>
                <w:sz w:val="21"/>
                <w:szCs w:val="21"/>
              </w:rPr>
              <w:t>序号</w:t>
            </w:r>
          </w:p>
        </w:tc>
        <w:tc>
          <w:tcPr>
            <w:tcW w:w="1315" w:type="dxa"/>
            <w:vAlign w:val="center"/>
          </w:tcPr>
          <w:p>
            <w:pPr>
              <w:pStyle w:val="56"/>
              <w:rPr>
                <w:rFonts w:ascii="宋体" w:hAnsi="宋体"/>
                <w:sz w:val="21"/>
                <w:szCs w:val="21"/>
              </w:rPr>
            </w:pPr>
            <w:r>
              <w:rPr>
                <w:rFonts w:hint="eastAsia" w:ascii="宋体" w:hAnsi="宋体"/>
                <w:sz w:val="21"/>
                <w:szCs w:val="21"/>
              </w:rPr>
              <w:t>技术内容</w:t>
            </w:r>
          </w:p>
        </w:tc>
        <w:tc>
          <w:tcPr>
            <w:tcW w:w="2629" w:type="dxa"/>
            <w:vAlign w:val="center"/>
          </w:tcPr>
          <w:p>
            <w:pPr>
              <w:pStyle w:val="56"/>
              <w:ind w:firstLine="420" w:firstLineChars="200"/>
              <w:rPr>
                <w:rFonts w:ascii="宋体" w:hAnsi="宋体"/>
                <w:sz w:val="21"/>
                <w:szCs w:val="21"/>
              </w:rPr>
            </w:pPr>
            <w:r>
              <w:rPr>
                <w:rFonts w:hint="eastAsia" w:ascii="宋体" w:hAnsi="宋体"/>
                <w:sz w:val="21"/>
                <w:szCs w:val="21"/>
              </w:rPr>
              <w:t>比选文件要求</w:t>
            </w:r>
          </w:p>
        </w:tc>
        <w:tc>
          <w:tcPr>
            <w:tcW w:w="2455" w:type="dxa"/>
            <w:vAlign w:val="center"/>
          </w:tcPr>
          <w:p>
            <w:pPr>
              <w:pStyle w:val="56"/>
              <w:rPr>
                <w:rFonts w:ascii="宋体" w:hAnsi="宋体"/>
                <w:sz w:val="21"/>
                <w:szCs w:val="21"/>
              </w:rPr>
            </w:pPr>
            <w:r>
              <w:rPr>
                <w:rFonts w:hint="eastAsia" w:ascii="宋体" w:hAnsi="宋体"/>
                <w:sz w:val="21"/>
                <w:szCs w:val="21"/>
              </w:rPr>
              <w:t>响应服务参数</w:t>
            </w:r>
          </w:p>
        </w:tc>
        <w:tc>
          <w:tcPr>
            <w:tcW w:w="1646" w:type="dxa"/>
            <w:vAlign w:val="center"/>
          </w:tcPr>
          <w:p>
            <w:pPr>
              <w:pStyle w:val="56"/>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lang w:eastAsia="zh-CN"/>
        </w:rPr>
        <w:t>比选申请人</w:t>
      </w:r>
      <w:r>
        <w:rPr>
          <w:rFonts w:hint="eastAsia" w:ascii="宋体" w:hAnsi="宋体"/>
          <w:kern w:val="0"/>
        </w:rPr>
        <w:t>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cs="Times New Roman"/>
          <w:kern w:val="0"/>
          <w:u w:val="single"/>
        </w:rPr>
      </w:pPr>
      <w:r>
        <w:rPr>
          <w:rFonts w:hint="eastAsia" w:hAnsi="宋体"/>
          <w:kern w:val="0"/>
        </w:rPr>
        <w:t>注：</w:t>
      </w:r>
      <w:r>
        <w:rPr>
          <w:rFonts w:hint="eastAsia" w:hAnsi="宋体"/>
          <w:kern w:val="0"/>
          <w:lang w:eastAsia="zh-CN"/>
        </w:rPr>
        <w:t>比选申请人</w:t>
      </w:r>
      <w:r>
        <w:rPr>
          <w:rFonts w:hint="eastAsia" w:hAnsi="宋体"/>
          <w:kern w:val="0"/>
        </w:rPr>
        <w:t>必须据实填写，不得虚假应答，如与比选文件所列技术要求相关条款无偏离（包括正偏离和负偏离），则无须逐条应答。如有偏离条款，请将偏离条款逐条应答。未明确偏离的条款，视为默认接受，</w:t>
      </w:r>
      <w:r>
        <w:rPr>
          <w:rFonts w:hint="eastAsia" w:hAnsi="宋体"/>
          <w:kern w:val="0"/>
          <w:lang w:eastAsia="zh-CN"/>
        </w:rPr>
        <w:t>比选申请人</w:t>
      </w:r>
      <w:r>
        <w:rPr>
          <w:rFonts w:hint="eastAsia" w:hAnsi="宋体"/>
          <w:kern w:val="0"/>
        </w:rPr>
        <w:t>不得籍未作应答而拒不接受。</w:t>
      </w:r>
      <w:r>
        <w:rPr>
          <w:rFonts w:hint="eastAsia" w:hAnsi="宋体"/>
          <w:kern w:val="0"/>
          <w:u w:val="single"/>
          <w:lang w:eastAsia="zh-CN"/>
        </w:rPr>
        <w:t>比选申请人</w:t>
      </w:r>
      <w:r>
        <w:rPr>
          <w:rFonts w:hint="eastAsia" w:hAnsi="宋体"/>
          <w:kern w:val="0"/>
          <w:u w:val="single"/>
        </w:rPr>
        <w:t>参与比选无论是响应还是不响应，都务必要填写此表格，明确是否响应比选文件中的技术要求。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int="default" w:hAnsi="宋体" w:eastAsia="宋体" w:cs="Times New Roman"/>
          <w:lang w:val="en-US" w:eastAsia="zh-CN"/>
        </w:rPr>
      </w:pPr>
      <w:r>
        <w:rPr>
          <w:rFonts w:hint="eastAsia" w:hAnsi="宋体"/>
          <w:kern w:val="0"/>
        </w:rPr>
        <w:t>包号：</w:t>
      </w:r>
      <w:r>
        <w:rPr>
          <w:rFonts w:hint="eastAsia" w:hAnsi="宋体"/>
          <w:kern w:val="0"/>
          <w:lang w:val="en-US" w:eastAsia="zh-CN"/>
        </w:rPr>
        <w:t>01包</w:t>
      </w:r>
    </w:p>
    <w:tbl>
      <w:tblPr>
        <w:tblStyle w:val="28"/>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28"/>
        <w:gridCol w:w="3442"/>
        <w:gridCol w:w="222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07" w:type="dxa"/>
            <w:vAlign w:val="center"/>
          </w:tcPr>
          <w:p>
            <w:pPr>
              <w:pStyle w:val="16"/>
              <w:spacing w:line="360" w:lineRule="auto"/>
              <w:jc w:val="center"/>
              <w:rPr>
                <w:rFonts w:hAnsi="宋体" w:cs="Times New Roman"/>
                <w:kern w:val="0"/>
              </w:rPr>
            </w:pPr>
            <w:r>
              <w:rPr>
                <w:rFonts w:hint="eastAsia" w:hAnsi="宋体"/>
                <w:kern w:val="0"/>
              </w:rPr>
              <w:t>序号</w:t>
            </w:r>
          </w:p>
        </w:tc>
        <w:tc>
          <w:tcPr>
            <w:tcW w:w="1728" w:type="dxa"/>
            <w:vAlign w:val="center"/>
          </w:tcPr>
          <w:p>
            <w:pPr>
              <w:pStyle w:val="16"/>
              <w:spacing w:line="360" w:lineRule="auto"/>
              <w:jc w:val="center"/>
              <w:rPr>
                <w:rFonts w:hint="eastAsia" w:hAnsi="宋体"/>
                <w:kern w:val="0"/>
              </w:rPr>
            </w:pPr>
            <w:r>
              <w:rPr>
                <w:rFonts w:hint="eastAsia" w:hAnsi="宋体"/>
                <w:kern w:val="0"/>
              </w:rPr>
              <w:t>比选文件条目号</w:t>
            </w:r>
          </w:p>
        </w:tc>
        <w:tc>
          <w:tcPr>
            <w:tcW w:w="3442"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4" w:type="dxa"/>
            <w:vAlign w:val="center"/>
          </w:tcPr>
          <w:p>
            <w:pPr>
              <w:pStyle w:val="16"/>
              <w:spacing w:line="360" w:lineRule="auto"/>
              <w:jc w:val="center"/>
              <w:rPr>
                <w:rFonts w:hAnsi="宋体" w:cs="Times New Roman"/>
                <w:kern w:val="0"/>
              </w:rPr>
            </w:pPr>
            <w:r>
              <w:rPr>
                <w:rFonts w:hint="eastAsia" w:hAnsi="宋体"/>
                <w:kern w:val="0"/>
                <w:lang w:eastAsia="zh-CN"/>
              </w:rPr>
              <w:t>比选申请人</w:t>
            </w:r>
            <w:r>
              <w:rPr>
                <w:rFonts w:hint="eastAsia" w:hAnsi="宋体"/>
                <w:kern w:val="0"/>
              </w:rPr>
              <w:t>应答</w:t>
            </w:r>
          </w:p>
        </w:tc>
        <w:tc>
          <w:tcPr>
            <w:tcW w:w="12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ind w:left="277" w:hanging="277" w:hangingChars="132"/>
              <w:jc w:val="center"/>
              <w:rPr>
                <w:rFonts w:ascii="宋体"/>
                <w:kern w:val="0"/>
              </w:rPr>
            </w:pPr>
          </w:p>
        </w:tc>
        <w:tc>
          <w:tcPr>
            <w:tcW w:w="12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8" w:hRule="atLeast"/>
        </w:trPr>
        <w:tc>
          <w:tcPr>
            <w:tcW w:w="807" w:type="dxa"/>
            <w:vAlign w:val="center"/>
          </w:tcPr>
          <w:p>
            <w:pPr>
              <w:spacing w:line="360" w:lineRule="auto"/>
              <w:jc w:val="center"/>
              <w:rPr>
                <w:rFonts w:ascii="宋体"/>
                <w:kern w:val="0"/>
              </w:rPr>
            </w:pPr>
          </w:p>
        </w:tc>
        <w:tc>
          <w:tcPr>
            <w:tcW w:w="1728" w:type="dxa"/>
            <w:vAlign w:val="center"/>
          </w:tcPr>
          <w:p>
            <w:pPr>
              <w:pStyle w:val="16"/>
              <w:spacing w:line="360" w:lineRule="auto"/>
              <w:jc w:val="both"/>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lang w:eastAsia="zh-CN"/>
        </w:rPr>
        <w:t>比选申请人</w:t>
      </w:r>
      <w:r>
        <w:rPr>
          <w:rFonts w:hint="eastAsia" w:ascii="宋体" w:hAnsi="宋体" w:cs="宋体"/>
          <w:kern w:val="0"/>
        </w:rPr>
        <w:t>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pPr>
      <w:r>
        <w:rPr>
          <w:rFonts w:hint="eastAsia" w:hAnsi="宋体"/>
          <w:kern w:val="0"/>
        </w:rPr>
        <w:t>注：</w:t>
      </w:r>
      <w:r>
        <w:rPr>
          <w:rFonts w:hint="eastAsia" w:hAnsi="宋体"/>
          <w:kern w:val="0"/>
          <w:lang w:eastAsia="zh-CN"/>
        </w:rPr>
        <w:t>比选申请人</w:t>
      </w:r>
      <w:r>
        <w:rPr>
          <w:rFonts w:hint="eastAsia" w:hAnsi="宋体"/>
          <w:kern w:val="0"/>
        </w:rPr>
        <w:t>必须据实填写，不得虚假应答，如与比选文件所列商务相关条款无偏离（包括正偏离和负偏离），则无须逐条应答。如有偏离条款，请将偏离条款逐条应答。未明确偏离的条款，视为默认接受，</w:t>
      </w:r>
      <w:r>
        <w:rPr>
          <w:rFonts w:hint="eastAsia" w:hAnsi="宋体"/>
          <w:kern w:val="0"/>
          <w:lang w:eastAsia="zh-CN"/>
        </w:rPr>
        <w:t>比选申请人</w:t>
      </w:r>
      <w:r>
        <w:rPr>
          <w:rFonts w:hint="eastAsia" w:hAnsi="宋体"/>
          <w:kern w:val="0"/>
        </w:rPr>
        <w:t>不得籍未作应答而拒不接受。</w:t>
      </w:r>
      <w:r>
        <w:rPr>
          <w:rFonts w:hint="eastAsia" w:hAnsi="宋体"/>
          <w:kern w:val="0"/>
          <w:u w:val="single"/>
          <w:lang w:eastAsia="zh-CN"/>
        </w:rPr>
        <w:t>比选申请人</w:t>
      </w:r>
      <w:r>
        <w:rPr>
          <w:rFonts w:hint="eastAsia" w:hAnsi="宋体"/>
          <w:kern w:val="0"/>
          <w:u w:val="single"/>
        </w:rPr>
        <w:t>参与比选无论是响应还是不响应，都务必要填写此表格，明确是否响应比选文件中的商务要求。</w:t>
      </w:r>
    </w:p>
    <w:p>
      <w:r>
        <w:rPr>
          <w:rFonts w:hint="eastAsia"/>
        </w:rPr>
        <w:br w:type="page"/>
      </w: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center"/>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lang w:val="en-US" w:eastAsia="zh-CN"/>
        </w:rPr>
        <w:t xml:space="preserve">                      </w:t>
      </w: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en-US" w:eastAsia="zh-CN"/>
        </w:rPr>
        <w:t>承诺时间：2025年   月   日</w:t>
      </w:r>
    </w:p>
    <w:p>
      <w:pPr>
        <w:pStyle w:val="2"/>
      </w:pPr>
    </w:p>
    <w:p/>
    <w:p>
      <w:pPr>
        <w:pStyle w:val="2"/>
      </w:pPr>
    </w:p>
    <w:p/>
    <w:p>
      <w:pPr>
        <w:pStyle w:val="2"/>
      </w:pPr>
    </w:p>
    <w:p/>
    <w:p>
      <w:pPr>
        <w:pStyle w:val="2"/>
      </w:pPr>
    </w:p>
    <w:p/>
    <w:p>
      <w:pPr>
        <w:pStyle w:val="2"/>
      </w:pPr>
    </w:p>
    <w:p/>
    <w:p>
      <w:pPr>
        <w:pStyle w:val="4"/>
        <w:numPr>
          <w:ilvl w:val="1"/>
          <w:numId w:val="0"/>
        </w:numPr>
        <w:tabs>
          <w:tab w:val="clear" w:pos="2045"/>
          <w:tab w:val="clear" w:pos="3828"/>
        </w:tabs>
        <w:ind w:left="3261"/>
        <w:rPr>
          <w:bCs w:val="0"/>
        </w:rPr>
      </w:pPr>
      <w:bookmarkStart w:id="43" w:name="_Toc365878703"/>
      <w:bookmarkStart w:id="44" w:name="_Toc361252259"/>
      <w:r>
        <w:rPr>
          <w:rFonts w:hint="eastAsia"/>
          <w:bCs w:val="0"/>
        </w:rPr>
        <w:t>九、最后报价表</w:t>
      </w:r>
    </w:p>
    <w:p>
      <w:pPr>
        <w:spacing w:line="360" w:lineRule="auto"/>
        <w:outlineLvl w:val="2"/>
        <w:rPr>
          <w:rFonts w:ascii="宋体" w:hAnsi="宋体" w:cs="宋体"/>
          <w:sz w:val="24"/>
        </w:rPr>
      </w:pPr>
      <w:r>
        <w:rPr>
          <w:rFonts w:hint="eastAsia" w:ascii="宋体" w:hAnsi="宋体" w:cs="宋体"/>
          <w:sz w:val="24"/>
        </w:rPr>
        <w:t>一、关于最后报价表的说明：</w:t>
      </w:r>
    </w:p>
    <w:p>
      <w:pPr>
        <w:spacing w:line="360" w:lineRule="auto"/>
        <w:rPr>
          <w:rFonts w:ascii="宋体" w:hAnsi="宋体" w:cs="宋体"/>
          <w:b/>
          <w:bCs/>
          <w:sz w:val="24"/>
        </w:rPr>
      </w:pPr>
      <w:r>
        <w:rPr>
          <w:rFonts w:hint="eastAsia" w:ascii="宋体" w:hAnsi="宋体" w:cs="宋体"/>
          <w:b/>
          <w:bCs/>
          <w:sz w:val="24"/>
        </w:rPr>
        <w:t>1、最后报价表不需要封装在比选申请文件中；</w:t>
      </w:r>
    </w:p>
    <w:p>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pPr>
        <w:spacing w:line="360" w:lineRule="auto"/>
        <w:rPr>
          <w:rFonts w:ascii="宋体" w:hAnsi="宋体" w:cs="宋体"/>
          <w:b/>
          <w:bCs/>
          <w:sz w:val="24"/>
        </w:rPr>
      </w:pPr>
      <w:r>
        <w:rPr>
          <w:rFonts w:hint="eastAsia" w:ascii="宋体" w:hAnsi="宋体" w:cs="宋体"/>
          <w:b/>
          <w:bCs/>
          <w:sz w:val="24"/>
        </w:rPr>
        <w:t>3、最后报价表可由</w:t>
      </w:r>
      <w:r>
        <w:rPr>
          <w:rFonts w:hint="eastAsia" w:ascii="宋体" w:hAnsi="宋体" w:cs="宋体"/>
          <w:b/>
          <w:bCs/>
          <w:sz w:val="24"/>
          <w:lang w:eastAsia="zh-CN"/>
        </w:rPr>
        <w:t>比选申请人</w:t>
      </w:r>
      <w:r>
        <w:rPr>
          <w:rFonts w:hint="eastAsia" w:ascii="宋体" w:hAnsi="宋体" w:cs="宋体"/>
          <w:b/>
          <w:bCs/>
          <w:sz w:val="24"/>
        </w:rPr>
        <w:t>的法定代表人（负责人）或授权代表在最后报价时手工填写；</w:t>
      </w:r>
    </w:p>
    <w:p>
      <w:pPr>
        <w:spacing w:line="360" w:lineRule="auto"/>
        <w:rPr>
          <w:rFonts w:ascii="宋体" w:hAnsi="宋体" w:cs="宋体"/>
          <w:b/>
          <w:bCs/>
          <w:sz w:val="24"/>
        </w:rPr>
      </w:pPr>
      <w:r>
        <w:rPr>
          <w:rFonts w:hint="eastAsia" w:ascii="宋体" w:hAnsi="宋体" w:cs="宋体"/>
          <w:b/>
          <w:bCs/>
          <w:sz w:val="24"/>
        </w:rPr>
        <w:t>4、最后报价不得高于对该项目之前的报价。</w:t>
      </w:r>
    </w:p>
    <w:p>
      <w:pPr>
        <w:spacing w:line="360" w:lineRule="auto"/>
        <w:outlineLvl w:val="2"/>
        <w:rPr>
          <w:rFonts w:ascii="宋体" w:hAnsi="宋体" w:cs="宋体"/>
          <w:sz w:val="24"/>
        </w:rPr>
      </w:pPr>
      <w:r>
        <w:rPr>
          <w:rFonts w:hint="eastAsia" w:ascii="宋体" w:hAnsi="宋体" w:cs="宋体"/>
          <w:sz w:val="24"/>
        </w:rPr>
        <w:t>二、报价表格式：</w:t>
      </w:r>
    </w:p>
    <w:p>
      <w:pPr>
        <w:jc w:val="center"/>
        <w:outlineLvl w:val="9"/>
        <w:rPr>
          <w:rFonts w:hint="eastAsia" w:ascii="宋体" w:hAnsi="宋体" w:cs="宋体"/>
          <w:b/>
          <w:sz w:val="32"/>
          <w:szCs w:val="32"/>
        </w:rPr>
      </w:pPr>
      <w:r>
        <w:rPr>
          <w:rFonts w:hint="eastAsia" w:ascii="宋体" w:hAnsi="宋体" w:cs="宋体"/>
          <w:b/>
          <w:sz w:val="32"/>
          <w:szCs w:val="32"/>
        </w:rPr>
        <w:t>最后报价表</w:t>
      </w:r>
    </w:p>
    <w:p>
      <w:pPr>
        <w:pStyle w:val="16"/>
        <w:spacing w:line="360" w:lineRule="auto"/>
      </w:pPr>
      <w:r>
        <w:rPr>
          <w:rFonts w:hint="eastAsia" w:hAnsi="宋体"/>
          <w:kern w:val="0"/>
        </w:rPr>
        <w:t>包号：</w:t>
      </w:r>
      <w:r>
        <w:rPr>
          <w:rFonts w:hint="eastAsia" w:hAnsi="宋体"/>
          <w:kern w:val="0"/>
          <w:lang w:val="en-US" w:eastAsia="zh-CN"/>
        </w:rPr>
        <w:t>01包</w:t>
      </w:r>
    </w:p>
    <w:tbl>
      <w:tblPr>
        <w:tblStyle w:val="28"/>
        <w:tblW w:w="5028"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221"/>
        <w:gridCol w:w="3491"/>
        <w:gridCol w:w="742"/>
        <w:gridCol w:w="667"/>
        <w:gridCol w:w="1288"/>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项目特征及工作内容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综合单价（元）</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零星标砖砌筑</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1.零星砌体MU10标砖砌筑、M7.5水泥砂浆砌筑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2.标砖尺寸240*115*53</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3.砂浆拌合、砌砖、勾缝、材料运输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4.部位：隔墙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5.门头.窗口过梁加固50*50角钢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6.横向植筋加固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7.修补因拆除卫生间门及门套产生的墙体破损</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内墙面</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1.新建隔墙及原墙刮白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2.铲除破损陈旧乳胶漆及基层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3.界面剂一道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4.打磨找平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5.内墙面刷乳胶漆(满刮腻子二遍、二遍涂料成活)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6.防盗门.卫生间门.地面.窗户等成品保护（薄膜覆盖不干胶固定）</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不锈钢栏杆</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1.φ20不锈钢圆管壁厚1.5mm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2.15*25不锈钢方管壁厚1.5mm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3.制作防护栏杆（横向间距100竖向间距300）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4.平头螺帽安装，打磨至无明显尖锐凸起</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钢质防盗门</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1.钢质防盗门蜂窝纸板填充。乙级，全套，带单面门套（无观察窗）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尺寸1100*2400*120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2.安装</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卫生间门</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1.铝合金平开门.带单面门套，无任何锁具（安全需要不带锁具），无观察窗。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2.拆除原有钢木卫生间门及门套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3.找平.吊线.安装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4.尺寸900*2000*50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不锈钢窗套</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1.0.8MM不锈钢板制作窗内四方套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2.安装打磨至无明显尖锐凸起</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指纹密码锁</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1.指纹密码锁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2.单向解锁2套，双向解锁2套。密码，密匙，机械三功能开启型（禁用人脸识别，语音识别，远程操控功能）</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材料运输</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1.人工搬运腻子、标砖、水泥、细沙、脚手架等至施工区域</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建渣处理</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1.现场建渣清理人工搬运下楼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2.装车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3.车辆运费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4.指定堆场场地费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7" w:hRule="atLeast"/>
        </w:trPr>
        <w:tc>
          <w:tcPr>
            <w:tcW w:w="5288"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税率9</w:t>
            </w:r>
            <w:r>
              <w:rPr>
                <w:rFonts w:hint="eastAsia" w:ascii="宋体" w:hAnsi="宋体" w:cs="宋体"/>
                <w:i w:val="0"/>
                <w:iCs w:val="0"/>
                <w:color w:val="000000"/>
                <w:kern w:val="0"/>
                <w:sz w:val="22"/>
                <w:szCs w:val="22"/>
                <w:u w:val="none"/>
                <w:lang w:val="en-US" w:eastAsia="zh-CN" w:bidi="ar"/>
              </w:rPr>
              <w:t>％</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小写（万元）：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大写：         </w:t>
            </w:r>
          </w:p>
        </w:tc>
      </w:tr>
    </w:tbl>
    <w:p>
      <w:pPr>
        <w:spacing w:line="360" w:lineRule="auto"/>
        <w:ind w:firstLine="420" w:firstLineChars="200"/>
        <w:jc w:val="left"/>
        <w:rPr>
          <w:rFonts w:ascii="宋体" w:hAnsi="宋体"/>
          <w:kern w:val="0"/>
        </w:rPr>
      </w:pPr>
    </w:p>
    <w:p>
      <w:pPr>
        <w:ind w:firstLine="480" w:firstLineChars="200"/>
        <w:rPr>
          <w:rFonts w:ascii="宋体" w:hAnsi="宋体" w:cs="宋体"/>
          <w:color w:val="000000"/>
          <w:sz w:val="24"/>
        </w:rPr>
      </w:pPr>
      <w:r>
        <w:rPr>
          <w:rFonts w:hint="eastAsia" w:ascii="宋体" w:hAnsi="宋体" w:cs="宋体"/>
          <w:color w:val="000000"/>
          <w:sz w:val="24"/>
        </w:rPr>
        <w:t>注:1.采购应答总价包括</w:t>
      </w:r>
      <w:r>
        <w:rPr>
          <w:rFonts w:hint="eastAsia" w:ascii="宋体" w:hAnsi="宋体" w:cs="宋体"/>
          <w:color w:val="000000"/>
          <w:sz w:val="24"/>
          <w:lang w:eastAsia="zh-CN"/>
        </w:rPr>
        <w:t>比选申请人</w:t>
      </w:r>
      <w:r>
        <w:rPr>
          <w:rFonts w:hint="eastAsia" w:ascii="宋体" w:hAnsi="宋体" w:cs="宋体"/>
          <w:color w:val="000000"/>
          <w:sz w:val="24"/>
        </w:rPr>
        <w:t xml:space="preserve">完成本项目所需的一切费用。 </w:t>
      </w:r>
    </w:p>
    <w:p>
      <w:pPr>
        <w:adjustRightInd w:val="0"/>
        <w:spacing w:line="400" w:lineRule="exact"/>
        <w:jc w:val="left"/>
        <w:rPr>
          <w:rFonts w:ascii="宋体" w:hAnsi="宋体" w:cs="宋体"/>
          <w:color w:val="000000"/>
          <w:sz w:val="24"/>
        </w:rPr>
      </w:pPr>
    </w:p>
    <w:p>
      <w:pPr>
        <w:adjustRightInd w:val="0"/>
        <w:spacing w:line="400" w:lineRule="exact"/>
        <w:jc w:val="left"/>
        <w:rPr>
          <w:rFonts w:ascii="宋体" w:hAnsi="宋体" w:cs="宋体"/>
          <w:color w:val="000000"/>
          <w:sz w:val="24"/>
        </w:rPr>
      </w:pPr>
      <w:r>
        <w:rPr>
          <w:rFonts w:hint="eastAsia" w:ascii="宋体" w:hAnsi="宋体" w:cs="宋体"/>
          <w:color w:val="000000"/>
          <w:sz w:val="24"/>
          <w:lang w:eastAsia="zh-CN"/>
        </w:rPr>
        <w:t>比选申请人</w:t>
      </w:r>
      <w:r>
        <w:rPr>
          <w:rFonts w:hint="eastAsia" w:ascii="宋体" w:hAnsi="宋体" w:cs="宋体"/>
          <w:color w:val="000000"/>
          <w:sz w:val="24"/>
        </w:rPr>
        <w:t>名称：</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rPr>
          <w:rFonts w:ascii="宋体"/>
        </w:rPr>
      </w:pPr>
      <w:r>
        <w:rPr>
          <w:rFonts w:hint="eastAsia"/>
        </w:rPr>
        <w:br w:type="page"/>
      </w:r>
      <w:bookmarkEnd w:id="43"/>
      <w:bookmarkEnd w:id="44"/>
      <w:bookmarkStart w:id="45" w:name="OLE_LINK16"/>
    </w:p>
    <w:bookmarkEnd w:id="45"/>
    <w:p>
      <w:pPr>
        <w:pStyle w:val="2"/>
        <w:rPr>
          <w:lang w:val="en-US" w:eastAsia="zh-CN"/>
        </w:rPr>
      </w:pPr>
    </w:p>
    <w:p>
      <w:pPr>
        <w:pStyle w:val="4"/>
        <w:numPr>
          <w:ilvl w:val="1"/>
          <w:numId w:val="0"/>
        </w:numPr>
        <w:tabs>
          <w:tab w:val="clear" w:pos="2045"/>
          <w:tab w:val="clear" w:pos="3828"/>
        </w:tabs>
        <w:ind w:left="3261"/>
        <w:rPr>
          <w:rFonts w:hint="eastAsia"/>
          <w:bCs w:val="0"/>
          <w:lang w:val="en-US" w:eastAsia="zh-CN"/>
        </w:rPr>
      </w:pPr>
      <w:r>
        <w:rPr>
          <w:rFonts w:hint="eastAsia"/>
          <w:bCs w:val="0"/>
          <w:lang w:val="en-US" w:eastAsia="zh-CN"/>
        </w:rPr>
        <w:t>十、其他材料（如有）</w:t>
      </w:r>
    </w:p>
    <w:p>
      <w:pPr>
        <w:spacing w:line="360" w:lineRule="auto"/>
        <w:jc w:val="center"/>
        <w:rPr>
          <w:rFonts w:hint="eastAsia"/>
          <w:highlight w:val="yellow"/>
          <w:lang w:val="en-US" w:eastAsia="zh-CN"/>
        </w:rPr>
      </w:pPr>
    </w:p>
    <w:p>
      <w:pPr>
        <w:spacing w:line="360" w:lineRule="auto"/>
        <w:jc w:val="center"/>
        <w:rPr>
          <w:rFonts w:ascii="宋体"/>
          <w:b/>
          <w:bCs/>
          <w:sz w:val="23"/>
          <w:szCs w:val="23"/>
        </w:rPr>
      </w:pPr>
      <w:r>
        <w:rPr>
          <w:rFonts w:hint="eastAsia"/>
          <w:lang w:val="en-US" w:eastAsia="zh-CN"/>
        </w:rPr>
        <w:t xml:space="preserve">   </w:t>
      </w:r>
      <w:r>
        <w:rPr>
          <w:rFonts w:hint="eastAsia" w:ascii="宋体" w:hAnsi="宋体" w:cs="宋体"/>
          <w:b/>
          <w:bCs/>
          <w:sz w:val="23"/>
          <w:szCs w:val="23"/>
        </w:rPr>
        <w:t>（格式自拟）</w:t>
      </w:r>
    </w:p>
    <w:p>
      <w:pPr>
        <w:rPr>
          <w:rFonts w:ascii="宋体"/>
        </w:rPr>
      </w:pPr>
    </w:p>
    <w:p>
      <w:pPr>
        <w:rPr>
          <w:rFonts w:hint="default"/>
          <w:lang w:val="en-US" w:eastAsia="zh-CN"/>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21</w:t>
    </w:r>
    <w:r>
      <w:rPr>
        <w:rStyle w:val="31"/>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yZGMwZmUzMjhmZGExOGI4YmRjNjY1YWFjMGQxMzA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42EA"/>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827"/>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3C96"/>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0B72"/>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CAB"/>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0930"/>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1B3"/>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597"/>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0F54"/>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3ABC"/>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3C41"/>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1E80"/>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1C3D"/>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157C"/>
    <w:rsid w:val="009B3491"/>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4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56AA"/>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076"/>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19C"/>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2A84"/>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3A5844"/>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1F3DF1"/>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BA4195"/>
    <w:rsid w:val="05CA273A"/>
    <w:rsid w:val="05CC726C"/>
    <w:rsid w:val="06093262"/>
    <w:rsid w:val="0624108F"/>
    <w:rsid w:val="067B57E2"/>
    <w:rsid w:val="06847ACE"/>
    <w:rsid w:val="06B153F1"/>
    <w:rsid w:val="06B477BD"/>
    <w:rsid w:val="06E45A7E"/>
    <w:rsid w:val="072C69F3"/>
    <w:rsid w:val="0757624F"/>
    <w:rsid w:val="077F5B2D"/>
    <w:rsid w:val="07D23B28"/>
    <w:rsid w:val="07F10452"/>
    <w:rsid w:val="07F41CF0"/>
    <w:rsid w:val="07FA41D2"/>
    <w:rsid w:val="08633C00"/>
    <w:rsid w:val="086F1377"/>
    <w:rsid w:val="0876485A"/>
    <w:rsid w:val="08B603E8"/>
    <w:rsid w:val="08BE3FCD"/>
    <w:rsid w:val="08C34CE7"/>
    <w:rsid w:val="0906268A"/>
    <w:rsid w:val="09293C1C"/>
    <w:rsid w:val="09554EED"/>
    <w:rsid w:val="097148FC"/>
    <w:rsid w:val="09731525"/>
    <w:rsid w:val="09880942"/>
    <w:rsid w:val="099948FD"/>
    <w:rsid w:val="09B836AD"/>
    <w:rsid w:val="09D516AE"/>
    <w:rsid w:val="09E50C48"/>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00712"/>
    <w:rsid w:val="0E651252"/>
    <w:rsid w:val="0E753F5B"/>
    <w:rsid w:val="0EA855E3"/>
    <w:rsid w:val="0EA93835"/>
    <w:rsid w:val="0EC266A4"/>
    <w:rsid w:val="0F386966"/>
    <w:rsid w:val="0F930041"/>
    <w:rsid w:val="0FC401FA"/>
    <w:rsid w:val="0FD85A54"/>
    <w:rsid w:val="0FFA3C1C"/>
    <w:rsid w:val="10443A9C"/>
    <w:rsid w:val="10541406"/>
    <w:rsid w:val="105552F6"/>
    <w:rsid w:val="10583483"/>
    <w:rsid w:val="1068327B"/>
    <w:rsid w:val="106D43EE"/>
    <w:rsid w:val="107D6B97"/>
    <w:rsid w:val="108245D5"/>
    <w:rsid w:val="10944070"/>
    <w:rsid w:val="10B335E5"/>
    <w:rsid w:val="10BC5375"/>
    <w:rsid w:val="10BD20EF"/>
    <w:rsid w:val="10C116E5"/>
    <w:rsid w:val="10CD30DE"/>
    <w:rsid w:val="10E16B8A"/>
    <w:rsid w:val="10E30B54"/>
    <w:rsid w:val="110F1949"/>
    <w:rsid w:val="11390774"/>
    <w:rsid w:val="11595888"/>
    <w:rsid w:val="11603F53"/>
    <w:rsid w:val="127D0416"/>
    <w:rsid w:val="127F665A"/>
    <w:rsid w:val="12C36C74"/>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D740CA"/>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CD5DF6"/>
    <w:rsid w:val="17D905BB"/>
    <w:rsid w:val="17EF431F"/>
    <w:rsid w:val="18027B12"/>
    <w:rsid w:val="181D2B9D"/>
    <w:rsid w:val="181F64EF"/>
    <w:rsid w:val="182C2DE0"/>
    <w:rsid w:val="18436143"/>
    <w:rsid w:val="18455C50"/>
    <w:rsid w:val="18E45FED"/>
    <w:rsid w:val="19000FED"/>
    <w:rsid w:val="19141836"/>
    <w:rsid w:val="19185113"/>
    <w:rsid w:val="19454FEE"/>
    <w:rsid w:val="19566367"/>
    <w:rsid w:val="19940C3D"/>
    <w:rsid w:val="19B20586"/>
    <w:rsid w:val="19C239FC"/>
    <w:rsid w:val="19FB6F0E"/>
    <w:rsid w:val="1A045DC3"/>
    <w:rsid w:val="1A1104E0"/>
    <w:rsid w:val="1A1C5C79"/>
    <w:rsid w:val="1A9A17A9"/>
    <w:rsid w:val="1AC76DF0"/>
    <w:rsid w:val="1AC8333C"/>
    <w:rsid w:val="1AD61454"/>
    <w:rsid w:val="1B0436DA"/>
    <w:rsid w:val="1B0D3F1C"/>
    <w:rsid w:val="1B5808E4"/>
    <w:rsid w:val="1B7B0983"/>
    <w:rsid w:val="1B866CAC"/>
    <w:rsid w:val="1B961A0F"/>
    <w:rsid w:val="1B9C004F"/>
    <w:rsid w:val="1C3445B2"/>
    <w:rsid w:val="1C47643B"/>
    <w:rsid w:val="1C4C1CA3"/>
    <w:rsid w:val="1C56042C"/>
    <w:rsid w:val="1C5A616E"/>
    <w:rsid w:val="1C6E64A8"/>
    <w:rsid w:val="1C890801"/>
    <w:rsid w:val="1CD13A03"/>
    <w:rsid w:val="1D10139C"/>
    <w:rsid w:val="1D1502E7"/>
    <w:rsid w:val="1D285972"/>
    <w:rsid w:val="1D3820CE"/>
    <w:rsid w:val="1D3A0985"/>
    <w:rsid w:val="1D8B67FB"/>
    <w:rsid w:val="1D951428"/>
    <w:rsid w:val="1DA43419"/>
    <w:rsid w:val="1E2C3B3A"/>
    <w:rsid w:val="1E314EEC"/>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10107D"/>
    <w:rsid w:val="222F3BF9"/>
    <w:rsid w:val="22543660"/>
    <w:rsid w:val="225C2514"/>
    <w:rsid w:val="22833F45"/>
    <w:rsid w:val="22920F68"/>
    <w:rsid w:val="22A255C7"/>
    <w:rsid w:val="22A46395"/>
    <w:rsid w:val="22BB5E26"/>
    <w:rsid w:val="22D622C7"/>
    <w:rsid w:val="230010F2"/>
    <w:rsid w:val="230706D2"/>
    <w:rsid w:val="23162280"/>
    <w:rsid w:val="2369313B"/>
    <w:rsid w:val="239768ED"/>
    <w:rsid w:val="239F1DCA"/>
    <w:rsid w:val="241530DF"/>
    <w:rsid w:val="244A244D"/>
    <w:rsid w:val="24AA3A0B"/>
    <w:rsid w:val="24BB5C18"/>
    <w:rsid w:val="24C83E91"/>
    <w:rsid w:val="24E7641E"/>
    <w:rsid w:val="25162E4E"/>
    <w:rsid w:val="254A62BB"/>
    <w:rsid w:val="2551032A"/>
    <w:rsid w:val="256911D0"/>
    <w:rsid w:val="25733F7D"/>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7DC54F9"/>
    <w:rsid w:val="28723FD3"/>
    <w:rsid w:val="288B76AF"/>
    <w:rsid w:val="28C46D67"/>
    <w:rsid w:val="28E62B38"/>
    <w:rsid w:val="28F22A1C"/>
    <w:rsid w:val="29025FC5"/>
    <w:rsid w:val="29041902"/>
    <w:rsid w:val="29135897"/>
    <w:rsid w:val="29A0718A"/>
    <w:rsid w:val="29A507F5"/>
    <w:rsid w:val="29C9066D"/>
    <w:rsid w:val="2A2658E2"/>
    <w:rsid w:val="2A46045B"/>
    <w:rsid w:val="2A532A2E"/>
    <w:rsid w:val="2B85488A"/>
    <w:rsid w:val="2BBD4024"/>
    <w:rsid w:val="2BC2163A"/>
    <w:rsid w:val="2BD42700"/>
    <w:rsid w:val="2BF746B3"/>
    <w:rsid w:val="2C216795"/>
    <w:rsid w:val="2C245E51"/>
    <w:rsid w:val="2C267E1B"/>
    <w:rsid w:val="2C4556DD"/>
    <w:rsid w:val="2C7F39CF"/>
    <w:rsid w:val="2C8A7DD3"/>
    <w:rsid w:val="2CAD22EA"/>
    <w:rsid w:val="2CC6549B"/>
    <w:rsid w:val="2CD51841"/>
    <w:rsid w:val="2CEC40B6"/>
    <w:rsid w:val="2CF25F4F"/>
    <w:rsid w:val="2D1C3C07"/>
    <w:rsid w:val="2D3A06C2"/>
    <w:rsid w:val="2D40315E"/>
    <w:rsid w:val="2D5C5ABE"/>
    <w:rsid w:val="2D742E08"/>
    <w:rsid w:val="2DAC07F4"/>
    <w:rsid w:val="2DAD00C8"/>
    <w:rsid w:val="2DB2761A"/>
    <w:rsid w:val="2DBE22D5"/>
    <w:rsid w:val="2DF95384"/>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CE5C86"/>
    <w:rsid w:val="2FDC6A42"/>
    <w:rsid w:val="30011C29"/>
    <w:rsid w:val="30185CCC"/>
    <w:rsid w:val="30416F06"/>
    <w:rsid w:val="30444D13"/>
    <w:rsid w:val="30DF0B7A"/>
    <w:rsid w:val="30DF4A3C"/>
    <w:rsid w:val="31097D0B"/>
    <w:rsid w:val="311D2557"/>
    <w:rsid w:val="313774ED"/>
    <w:rsid w:val="314F4955"/>
    <w:rsid w:val="316D2056"/>
    <w:rsid w:val="317226E8"/>
    <w:rsid w:val="318A1232"/>
    <w:rsid w:val="31AA504A"/>
    <w:rsid w:val="31CB3B06"/>
    <w:rsid w:val="31D16A7B"/>
    <w:rsid w:val="31EF6F01"/>
    <w:rsid w:val="31F167D5"/>
    <w:rsid w:val="322E42AD"/>
    <w:rsid w:val="325419AE"/>
    <w:rsid w:val="32963820"/>
    <w:rsid w:val="32981347"/>
    <w:rsid w:val="329D4BAF"/>
    <w:rsid w:val="32EB1476"/>
    <w:rsid w:val="32F83B93"/>
    <w:rsid w:val="335812BA"/>
    <w:rsid w:val="336D27D3"/>
    <w:rsid w:val="33E362F7"/>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773A80"/>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252920"/>
    <w:rsid w:val="3B351F1C"/>
    <w:rsid w:val="3B491430"/>
    <w:rsid w:val="3B783AC3"/>
    <w:rsid w:val="3B876595"/>
    <w:rsid w:val="3BDD601C"/>
    <w:rsid w:val="3C241E9D"/>
    <w:rsid w:val="3C552A24"/>
    <w:rsid w:val="3CB52AF5"/>
    <w:rsid w:val="3CDB07AE"/>
    <w:rsid w:val="3CE2527D"/>
    <w:rsid w:val="3D2F4655"/>
    <w:rsid w:val="3D622C7D"/>
    <w:rsid w:val="3D6D517E"/>
    <w:rsid w:val="3DBB4CCB"/>
    <w:rsid w:val="3E3F4D6C"/>
    <w:rsid w:val="3E587BDC"/>
    <w:rsid w:val="3E877FC2"/>
    <w:rsid w:val="3E88226F"/>
    <w:rsid w:val="3E8F7AA2"/>
    <w:rsid w:val="3EA044DF"/>
    <w:rsid w:val="3EB166E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1631BE"/>
    <w:rsid w:val="418217D9"/>
    <w:rsid w:val="41A53138"/>
    <w:rsid w:val="41FD0523"/>
    <w:rsid w:val="42090B2C"/>
    <w:rsid w:val="422D27FD"/>
    <w:rsid w:val="424B180D"/>
    <w:rsid w:val="42701998"/>
    <w:rsid w:val="42786A9F"/>
    <w:rsid w:val="43574906"/>
    <w:rsid w:val="43707776"/>
    <w:rsid w:val="43A37B4B"/>
    <w:rsid w:val="43AA2C88"/>
    <w:rsid w:val="4420119C"/>
    <w:rsid w:val="446E46AD"/>
    <w:rsid w:val="44B51E27"/>
    <w:rsid w:val="44B738AE"/>
    <w:rsid w:val="44CB276D"/>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6AD1749"/>
    <w:rsid w:val="47044E98"/>
    <w:rsid w:val="470C6DF8"/>
    <w:rsid w:val="47866ABC"/>
    <w:rsid w:val="478C30ED"/>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79502F"/>
    <w:rsid w:val="4BB328F5"/>
    <w:rsid w:val="4BE17463"/>
    <w:rsid w:val="4C100085"/>
    <w:rsid w:val="4C1E4213"/>
    <w:rsid w:val="4C56173B"/>
    <w:rsid w:val="4C6205A3"/>
    <w:rsid w:val="4C856040"/>
    <w:rsid w:val="4C8B429E"/>
    <w:rsid w:val="4C970B7D"/>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9A7642"/>
    <w:rsid w:val="4FCB13A4"/>
    <w:rsid w:val="4FD86DCF"/>
    <w:rsid w:val="4FFC0D0F"/>
    <w:rsid w:val="503502FF"/>
    <w:rsid w:val="50610B72"/>
    <w:rsid w:val="50681F00"/>
    <w:rsid w:val="507E34D2"/>
    <w:rsid w:val="50E85D6A"/>
    <w:rsid w:val="50FE7CC0"/>
    <w:rsid w:val="513149E8"/>
    <w:rsid w:val="5142589F"/>
    <w:rsid w:val="517B3EB5"/>
    <w:rsid w:val="51BA1B53"/>
    <w:rsid w:val="51F223CA"/>
    <w:rsid w:val="51FE6E1F"/>
    <w:rsid w:val="52171E30"/>
    <w:rsid w:val="52315B77"/>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57444A"/>
    <w:rsid w:val="53634C01"/>
    <w:rsid w:val="53715570"/>
    <w:rsid w:val="5371731E"/>
    <w:rsid w:val="537929B0"/>
    <w:rsid w:val="53990623"/>
    <w:rsid w:val="5418600B"/>
    <w:rsid w:val="54227605"/>
    <w:rsid w:val="54AC2F51"/>
    <w:rsid w:val="54AD6A7C"/>
    <w:rsid w:val="54C130EC"/>
    <w:rsid w:val="54DE6C35"/>
    <w:rsid w:val="54E97633"/>
    <w:rsid w:val="551C3694"/>
    <w:rsid w:val="553574EA"/>
    <w:rsid w:val="553E5926"/>
    <w:rsid w:val="55532D00"/>
    <w:rsid w:val="55540CA5"/>
    <w:rsid w:val="555836E3"/>
    <w:rsid w:val="5575393E"/>
    <w:rsid w:val="557A46A9"/>
    <w:rsid w:val="55B1434A"/>
    <w:rsid w:val="56135E24"/>
    <w:rsid w:val="561F5757"/>
    <w:rsid w:val="56625644"/>
    <w:rsid w:val="566969D2"/>
    <w:rsid w:val="56903F5F"/>
    <w:rsid w:val="570F1328"/>
    <w:rsid w:val="572A6162"/>
    <w:rsid w:val="5745587D"/>
    <w:rsid w:val="57607DD5"/>
    <w:rsid w:val="57673999"/>
    <w:rsid w:val="577720D4"/>
    <w:rsid w:val="57882E88"/>
    <w:rsid w:val="578F1331"/>
    <w:rsid w:val="57AF48B9"/>
    <w:rsid w:val="57B819BF"/>
    <w:rsid w:val="57C245EC"/>
    <w:rsid w:val="57CD3824"/>
    <w:rsid w:val="585D60C3"/>
    <w:rsid w:val="587B479B"/>
    <w:rsid w:val="589C6BEB"/>
    <w:rsid w:val="58D34740"/>
    <w:rsid w:val="58F76517"/>
    <w:rsid w:val="590D1897"/>
    <w:rsid w:val="59343F0C"/>
    <w:rsid w:val="59554FEC"/>
    <w:rsid w:val="597146D3"/>
    <w:rsid w:val="59AD712E"/>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ED6091"/>
    <w:rsid w:val="5CEF0CF6"/>
    <w:rsid w:val="5CFA65D6"/>
    <w:rsid w:val="5D2B2C34"/>
    <w:rsid w:val="5D543F38"/>
    <w:rsid w:val="5D7B268C"/>
    <w:rsid w:val="5DD15589"/>
    <w:rsid w:val="5DE441BA"/>
    <w:rsid w:val="5E08721E"/>
    <w:rsid w:val="5E4C4C10"/>
    <w:rsid w:val="5EAE319D"/>
    <w:rsid w:val="5EB05E66"/>
    <w:rsid w:val="5EC7698C"/>
    <w:rsid w:val="5F820D70"/>
    <w:rsid w:val="5FB32A6C"/>
    <w:rsid w:val="5FCD71B7"/>
    <w:rsid w:val="5FD41360"/>
    <w:rsid w:val="5FED2422"/>
    <w:rsid w:val="5FFE00C4"/>
    <w:rsid w:val="600A2FD4"/>
    <w:rsid w:val="600D03CE"/>
    <w:rsid w:val="601C4AB5"/>
    <w:rsid w:val="6028345A"/>
    <w:rsid w:val="602F47E9"/>
    <w:rsid w:val="606326E4"/>
    <w:rsid w:val="606D70BF"/>
    <w:rsid w:val="60AE372D"/>
    <w:rsid w:val="60B40681"/>
    <w:rsid w:val="60C74A21"/>
    <w:rsid w:val="60CA5B9F"/>
    <w:rsid w:val="60D1730B"/>
    <w:rsid w:val="60E81AAA"/>
    <w:rsid w:val="61045C75"/>
    <w:rsid w:val="61601C7A"/>
    <w:rsid w:val="616A72E2"/>
    <w:rsid w:val="61EE4FF2"/>
    <w:rsid w:val="622C6936"/>
    <w:rsid w:val="623E641A"/>
    <w:rsid w:val="625B39D2"/>
    <w:rsid w:val="627D5CDF"/>
    <w:rsid w:val="627E5CE3"/>
    <w:rsid w:val="629B43B7"/>
    <w:rsid w:val="62B4342F"/>
    <w:rsid w:val="62F61991"/>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460813"/>
    <w:rsid w:val="66524D8D"/>
    <w:rsid w:val="665A551B"/>
    <w:rsid w:val="66805D9E"/>
    <w:rsid w:val="66915C71"/>
    <w:rsid w:val="66A22C94"/>
    <w:rsid w:val="66DB1226"/>
    <w:rsid w:val="66E629DF"/>
    <w:rsid w:val="66E8749F"/>
    <w:rsid w:val="67184F6B"/>
    <w:rsid w:val="67371E56"/>
    <w:rsid w:val="673D77EB"/>
    <w:rsid w:val="674C27FB"/>
    <w:rsid w:val="677B0314"/>
    <w:rsid w:val="67C10125"/>
    <w:rsid w:val="67E85125"/>
    <w:rsid w:val="67FD7022"/>
    <w:rsid w:val="683523F2"/>
    <w:rsid w:val="68774F7F"/>
    <w:rsid w:val="68DF23A7"/>
    <w:rsid w:val="69050959"/>
    <w:rsid w:val="699658D9"/>
    <w:rsid w:val="69C9180A"/>
    <w:rsid w:val="69EC72A7"/>
    <w:rsid w:val="6A16012B"/>
    <w:rsid w:val="6A1D56B2"/>
    <w:rsid w:val="6A372C18"/>
    <w:rsid w:val="6A671419"/>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A0845"/>
    <w:rsid w:val="6C6E6699"/>
    <w:rsid w:val="6CC369E5"/>
    <w:rsid w:val="6CCD7863"/>
    <w:rsid w:val="6D2156DB"/>
    <w:rsid w:val="6D341690"/>
    <w:rsid w:val="6D4F4126"/>
    <w:rsid w:val="6D7838A9"/>
    <w:rsid w:val="6DC742B3"/>
    <w:rsid w:val="6DD469CF"/>
    <w:rsid w:val="6DF606F4"/>
    <w:rsid w:val="6E361438"/>
    <w:rsid w:val="6E4C3167"/>
    <w:rsid w:val="6E565C82"/>
    <w:rsid w:val="6E877718"/>
    <w:rsid w:val="6E9A3775"/>
    <w:rsid w:val="6EBA7973"/>
    <w:rsid w:val="6EDA6095"/>
    <w:rsid w:val="6EE50395"/>
    <w:rsid w:val="6EF70BC7"/>
    <w:rsid w:val="6F086931"/>
    <w:rsid w:val="6F1352D6"/>
    <w:rsid w:val="6F212F57"/>
    <w:rsid w:val="6F2A3814"/>
    <w:rsid w:val="6F373087"/>
    <w:rsid w:val="6F4656AB"/>
    <w:rsid w:val="6F810491"/>
    <w:rsid w:val="6F893788"/>
    <w:rsid w:val="6F912DCA"/>
    <w:rsid w:val="6FA80977"/>
    <w:rsid w:val="6FAF46CD"/>
    <w:rsid w:val="6FC75F24"/>
    <w:rsid w:val="6FEC6252"/>
    <w:rsid w:val="6FFE360F"/>
    <w:rsid w:val="7004359C"/>
    <w:rsid w:val="70052393"/>
    <w:rsid w:val="70111D7F"/>
    <w:rsid w:val="70322250"/>
    <w:rsid w:val="70446673"/>
    <w:rsid w:val="70651B61"/>
    <w:rsid w:val="70710506"/>
    <w:rsid w:val="707E4486"/>
    <w:rsid w:val="708D1198"/>
    <w:rsid w:val="709A3F00"/>
    <w:rsid w:val="70A15EF2"/>
    <w:rsid w:val="70B14B83"/>
    <w:rsid w:val="70F17302"/>
    <w:rsid w:val="712E63F7"/>
    <w:rsid w:val="714B3183"/>
    <w:rsid w:val="715C2793"/>
    <w:rsid w:val="71816E6E"/>
    <w:rsid w:val="71BB412E"/>
    <w:rsid w:val="72115ECC"/>
    <w:rsid w:val="721F50D4"/>
    <w:rsid w:val="724463A8"/>
    <w:rsid w:val="726245AA"/>
    <w:rsid w:val="726B5B54"/>
    <w:rsid w:val="727D7636"/>
    <w:rsid w:val="72E27499"/>
    <w:rsid w:val="72E86CBD"/>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9D14BE"/>
    <w:rsid w:val="75BE5F9B"/>
    <w:rsid w:val="75E63744"/>
    <w:rsid w:val="761E6A3A"/>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A036C2"/>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ED79CC"/>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autoRedefine/>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autoRedefine/>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autoRedefine/>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autoRedefine/>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autoRedefine/>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autoRedefine/>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autoRedefine/>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autoRedefine/>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1"/>
    <w:autoRedefine/>
    <w:qFormat/>
    <w:uiPriority w:val="99"/>
    <w:pPr>
      <w:spacing w:after="120"/>
    </w:pPr>
  </w:style>
  <w:style w:type="paragraph" w:styleId="8">
    <w:name w:val="Normal Indent"/>
    <w:basedOn w:val="1"/>
    <w:autoRedefine/>
    <w:qFormat/>
    <w:uiPriority w:val="99"/>
    <w:pPr>
      <w:spacing w:line="360" w:lineRule="auto"/>
      <w:ind w:firstLine="420" w:firstLineChars="200"/>
    </w:pPr>
  </w:style>
  <w:style w:type="paragraph" w:styleId="13">
    <w:name w:val="Document Map"/>
    <w:basedOn w:val="1"/>
    <w:link w:val="40"/>
    <w:autoRedefine/>
    <w:semiHidden/>
    <w:qFormat/>
    <w:uiPriority w:val="99"/>
    <w:rPr>
      <w:rFonts w:ascii="宋体" w:cs="宋体"/>
      <w:sz w:val="24"/>
      <w:szCs w:val="24"/>
    </w:rPr>
  </w:style>
  <w:style w:type="paragraph" w:styleId="14">
    <w:name w:val="annotation text"/>
    <w:basedOn w:val="1"/>
    <w:link w:val="38"/>
    <w:autoRedefine/>
    <w:semiHidden/>
    <w:qFormat/>
    <w:uiPriority w:val="99"/>
    <w:pPr>
      <w:jc w:val="left"/>
    </w:pPr>
  </w:style>
  <w:style w:type="paragraph" w:styleId="15">
    <w:name w:val="Body Text Indent"/>
    <w:basedOn w:val="1"/>
    <w:link w:val="42"/>
    <w:autoRedefine/>
    <w:qFormat/>
    <w:uiPriority w:val="99"/>
    <w:pPr>
      <w:spacing w:after="120"/>
      <w:ind w:left="420" w:leftChars="200"/>
    </w:pPr>
  </w:style>
  <w:style w:type="paragraph" w:styleId="16">
    <w:name w:val="Plain Text"/>
    <w:basedOn w:val="1"/>
    <w:link w:val="43"/>
    <w:autoRedefine/>
    <w:qFormat/>
    <w:uiPriority w:val="0"/>
    <w:rPr>
      <w:rFonts w:ascii="宋体" w:hAnsi="Courier New" w:cs="宋体"/>
    </w:rPr>
  </w:style>
  <w:style w:type="paragraph" w:styleId="17">
    <w:name w:val="Date"/>
    <w:basedOn w:val="1"/>
    <w:next w:val="1"/>
    <w:link w:val="44"/>
    <w:autoRedefine/>
    <w:qFormat/>
    <w:uiPriority w:val="99"/>
    <w:pPr>
      <w:ind w:left="100" w:leftChars="2500"/>
    </w:pPr>
  </w:style>
  <w:style w:type="paragraph" w:styleId="18">
    <w:name w:val="Body Text Indent 2"/>
    <w:basedOn w:val="1"/>
    <w:autoRedefine/>
    <w:qFormat/>
    <w:locked/>
    <w:uiPriority w:val="0"/>
    <w:pPr>
      <w:autoSpaceDE/>
      <w:autoSpaceDN/>
      <w:adjustRightInd/>
      <w:spacing w:after="120" w:line="480" w:lineRule="auto"/>
      <w:ind w:left="420" w:leftChars="200"/>
      <w:jc w:val="both"/>
    </w:pPr>
    <w:rPr>
      <w:rFonts w:ascii="Calibri" w:hAnsi="Calibri"/>
      <w:kern w:val="2"/>
      <w:sz w:val="21"/>
      <w:szCs w:val="24"/>
    </w:rPr>
  </w:style>
  <w:style w:type="paragraph" w:styleId="19">
    <w:name w:val="Balloon Text"/>
    <w:basedOn w:val="1"/>
    <w:link w:val="45"/>
    <w:autoRedefine/>
    <w:semiHidden/>
    <w:qFormat/>
    <w:uiPriority w:val="99"/>
    <w:rPr>
      <w:sz w:val="18"/>
      <w:szCs w:val="18"/>
    </w:rPr>
  </w:style>
  <w:style w:type="paragraph" w:styleId="20">
    <w:name w:val="footer"/>
    <w:basedOn w:val="1"/>
    <w:link w:val="46"/>
    <w:autoRedefine/>
    <w:qFormat/>
    <w:uiPriority w:val="99"/>
    <w:pPr>
      <w:tabs>
        <w:tab w:val="center" w:pos="4153"/>
        <w:tab w:val="right" w:pos="8306"/>
      </w:tabs>
      <w:snapToGrid w:val="0"/>
      <w:jc w:val="left"/>
    </w:pPr>
    <w:rPr>
      <w:sz w:val="18"/>
      <w:szCs w:val="18"/>
    </w:rPr>
  </w:style>
  <w:style w:type="paragraph" w:styleId="21">
    <w:name w:val="header"/>
    <w:basedOn w:val="1"/>
    <w:link w:val="47"/>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autoRedefine/>
    <w:qFormat/>
    <w:uiPriority w:val="99"/>
    <w:pPr>
      <w:spacing w:after="120"/>
      <w:ind w:left="420" w:leftChars="200"/>
    </w:pPr>
    <w:rPr>
      <w:sz w:val="16"/>
      <w:szCs w:val="16"/>
    </w:rPr>
  </w:style>
  <w:style w:type="paragraph" w:styleId="24">
    <w:name w:val="toc 2"/>
    <w:basedOn w:val="1"/>
    <w:next w:val="1"/>
    <w:autoRedefine/>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autoRedefine/>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39"/>
    <w:autoRedefine/>
    <w:semiHidden/>
    <w:qFormat/>
    <w:uiPriority w:val="99"/>
    <w:rPr>
      <w:b/>
      <w:bCs/>
    </w:rPr>
  </w:style>
  <w:style w:type="table" w:styleId="29">
    <w:name w:val="Table Grid"/>
    <w:basedOn w:val="2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autoRedefine/>
    <w:qFormat/>
    <w:uiPriority w:val="99"/>
  </w:style>
  <w:style w:type="character" w:styleId="32">
    <w:name w:val="Hyperlink"/>
    <w:autoRedefine/>
    <w:qFormat/>
    <w:uiPriority w:val="99"/>
    <w:rPr>
      <w:color w:val="0000FF"/>
      <w:u w:val="single"/>
    </w:rPr>
  </w:style>
  <w:style w:type="character" w:styleId="33">
    <w:name w:val="annotation reference"/>
    <w:autoRedefine/>
    <w:semiHidden/>
    <w:qFormat/>
    <w:uiPriority w:val="99"/>
    <w:rPr>
      <w:sz w:val="21"/>
      <w:szCs w:val="21"/>
    </w:rPr>
  </w:style>
  <w:style w:type="character" w:customStyle="1" w:styleId="34">
    <w:name w:val="标题 1 Char"/>
    <w:link w:val="3"/>
    <w:autoRedefine/>
    <w:qFormat/>
    <w:uiPriority w:val="9"/>
    <w:rPr>
      <w:b/>
      <w:bCs/>
      <w:kern w:val="44"/>
      <w:sz w:val="44"/>
      <w:szCs w:val="44"/>
    </w:rPr>
  </w:style>
  <w:style w:type="character" w:customStyle="1" w:styleId="35">
    <w:name w:val="标题 2 Char"/>
    <w:link w:val="4"/>
    <w:autoRedefine/>
    <w:semiHidden/>
    <w:qFormat/>
    <w:uiPriority w:val="9"/>
    <w:rPr>
      <w:rFonts w:ascii="Cambria" w:hAnsi="Cambria" w:eastAsia="宋体" w:cs="Times New Roman"/>
      <w:b/>
      <w:bCs/>
      <w:sz w:val="32"/>
      <w:szCs w:val="32"/>
    </w:rPr>
  </w:style>
  <w:style w:type="character" w:customStyle="1" w:styleId="36">
    <w:name w:val="标题 3 Char"/>
    <w:link w:val="5"/>
    <w:autoRedefine/>
    <w:semiHidden/>
    <w:qFormat/>
    <w:uiPriority w:val="9"/>
    <w:rPr>
      <w:b/>
      <w:bCs/>
      <w:sz w:val="32"/>
      <w:szCs w:val="32"/>
    </w:rPr>
  </w:style>
  <w:style w:type="character" w:customStyle="1" w:styleId="37">
    <w:name w:val="标题 4 Char"/>
    <w:link w:val="6"/>
    <w:autoRedefine/>
    <w:semiHidden/>
    <w:qFormat/>
    <w:uiPriority w:val="9"/>
    <w:rPr>
      <w:rFonts w:ascii="Cambria" w:hAnsi="Cambria" w:eastAsia="宋体" w:cs="Times New Roman"/>
      <w:b/>
      <w:bCs/>
      <w:sz w:val="28"/>
      <w:szCs w:val="28"/>
    </w:rPr>
  </w:style>
  <w:style w:type="character" w:customStyle="1" w:styleId="38">
    <w:name w:val="批注文字 Char"/>
    <w:link w:val="14"/>
    <w:autoRedefine/>
    <w:qFormat/>
    <w:locked/>
    <w:uiPriority w:val="99"/>
    <w:rPr>
      <w:kern w:val="2"/>
      <w:sz w:val="24"/>
      <w:szCs w:val="24"/>
    </w:rPr>
  </w:style>
  <w:style w:type="character" w:customStyle="1" w:styleId="39">
    <w:name w:val="批注主题 Char"/>
    <w:link w:val="27"/>
    <w:autoRedefine/>
    <w:qFormat/>
    <w:locked/>
    <w:uiPriority w:val="99"/>
    <w:rPr>
      <w:b/>
      <w:bCs/>
      <w:kern w:val="2"/>
      <w:sz w:val="24"/>
      <w:szCs w:val="24"/>
    </w:rPr>
  </w:style>
  <w:style w:type="character" w:customStyle="1" w:styleId="40">
    <w:name w:val="文档结构图 Char"/>
    <w:link w:val="13"/>
    <w:autoRedefine/>
    <w:qFormat/>
    <w:locked/>
    <w:uiPriority w:val="99"/>
    <w:rPr>
      <w:rFonts w:ascii="宋体" w:cs="宋体"/>
      <w:kern w:val="2"/>
      <w:sz w:val="24"/>
      <w:szCs w:val="24"/>
    </w:rPr>
  </w:style>
  <w:style w:type="character" w:customStyle="1" w:styleId="41">
    <w:name w:val="正文文本 Char"/>
    <w:link w:val="2"/>
    <w:autoRedefine/>
    <w:qFormat/>
    <w:locked/>
    <w:uiPriority w:val="99"/>
    <w:rPr>
      <w:kern w:val="2"/>
      <w:sz w:val="24"/>
      <w:szCs w:val="24"/>
    </w:rPr>
  </w:style>
  <w:style w:type="character" w:customStyle="1" w:styleId="42">
    <w:name w:val="正文文本缩进 Char"/>
    <w:link w:val="15"/>
    <w:autoRedefine/>
    <w:qFormat/>
    <w:locked/>
    <w:uiPriority w:val="99"/>
    <w:rPr>
      <w:kern w:val="2"/>
      <w:sz w:val="24"/>
      <w:szCs w:val="24"/>
    </w:rPr>
  </w:style>
  <w:style w:type="character" w:customStyle="1" w:styleId="43">
    <w:name w:val="纯文本 Char"/>
    <w:link w:val="16"/>
    <w:autoRedefine/>
    <w:qFormat/>
    <w:locked/>
    <w:uiPriority w:val="0"/>
    <w:rPr>
      <w:rFonts w:ascii="宋体" w:hAnsi="Courier New" w:cs="宋体"/>
      <w:kern w:val="2"/>
      <w:sz w:val="21"/>
      <w:szCs w:val="21"/>
    </w:rPr>
  </w:style>
  <w:style w:type="character" w:customStyle="1" w:styleId="44">
    <w:name w:val="日期 Char"/>
    <w:link w:val="17"/>
    <w:autoRedefine/>
    <w:semiHidden/>
    <w:qFormat/>
    <w:uiPriority w:val="99"/>
    <w:rPr>
      <w:szCs w:val="21"/>
    </w:rPr>
  </w:style>
  <w:style w:type="character" w:customStyle="1" w:styleId="45">
    <w:name w:val="批注框文本 Char"/>
    <w:link w:val="19"/>
    <w:autoRedefine/>
    <w:semiHidden/>
    <w:qFormat/>
    <w:uiPriority w:val="99"/>
    <w:rPr>
      <w:sz w:val="0"/>
      <w:szCs w:val="0"/>
    </w:rPr>
  </w:style>
  <w:style w:type="character" w:customStyle="1" w:styleId="46">
    <w:name w:val="页脚 Char"/>
    <w:link w:val="20"/>
    <w:autoRedefine/>
    <w:qFormat/>
    <w:locked/>
    <w:uiPriority w:val="99"/>
    <w:rPr>
      <w:kern w:val="2"/>
      <w:sz w:val="18"/>
      <w:szCs w:val="18"/>
    </w:rPr>
  </w:style>
  <w:style w:type="character" w:customStyle="1" w:styleId="47">
    <w:name w:val="页眉 Char"/>
    <w:link w:val="21"/>
    <w:autoRedefine/>
    <w:qFormat/>
    <w:locked/>
    <w:uiPriority w:val="99"/>
    <w:rPr>
      <w:kern w:val="2"/>
      <w:sz w:val="18"/>
      <w:szCs w:val="18"/>
    </w:rPr>
  </w:style>
  <w:style w:type="character" w:customStyle="1" w:styleId="48">
    <w:name w:val="正文文本缩进 3 Char"/>
    <w:link w:val="23"/>
    <w:autoRedefine/>
    <w:semiHidden/>
    <w:qFormat/>
    <w:uiPriority w:val="99"/>
    <w:rPr>
      <w:sz w:val="16"/>
      <w:szCs w:val="16"/>
    </w:rPr>
  </w:style>
  <w:style w:type="character" w:customStyle="1" w:styleId="49">
    <w:name w:val="标题 Char"/>
    <w:link w:val="26"/>
    <w:autoRedefine/>
    <w:qFormat/>
    <w:locked/>
    <w:uiPriority w:val="99"/>
    <w:rPr>
      <w:rFonts w:ascii="Cambria" w:hAnsi="Cambria" w:cs="Cambria"/>
      <w:b/>
      <w:bCs/>
      <w:sz w:val="32"/>
      <w:szCs w:val="32"/>
    </w:rPr>
  </w:style>
  <w:style w:type="character" w:customStyle="1" w:styleId="50">
    <w:name w:val="标题 3 Char Char Char"/>
    <w:autoRedefine/>
    <w:qFormat/>
    <w:uiPriority w:val="99"/>
    <w:rPr>
      <w:rFonts w:eastAsia="宋体"/>
      <w:b/>
      <w:bCs/>
      <w:kern w:val="2"/>
      <w:sz w:val="32"/>
      <w:szCs w:val="32"/>
      <w:lang w:val="en-US" w:eastAsia="zh-CN"/>
    </w:rPr>
  </w:style>
  <w:style w:type="character" w:customStyle="1" w:styleId="51">
    <w:name w:val="中等深浅网格 1 - 强调文字颜色 2字符"/>
    <w:link w:val="52"/>
    <w:autoRedefine/>
    <w:qFormat/>
    <w:locked/>
    <w:uiPriority w:val="99"/>
    <w:rPr>
      <w:kern w:val="2"/>
      <w:sz w:val="24"/>
      <w:szCs w:val="24"/>
    </w:rPr>
  </w:style>
  <w:style w:type="paragraph" w:customStyle="1" w:styleId="52">
    <w:name w:val="中等深浅网格 1 - 强调文字颜色 21"/>
    <w:basedOn w:val="1"/>
    <w:link w:val="51"/>
    <w:autoRedefine/>
    <w:qFormat/>
    <w:uiPriority w:val="99"/>
    <w:pPr>
      <w:ind w:firstLine="420" w:firstLineChars="200"/>
    </w:pPr>
  </w:style>
  <w:style w:type="character" w:customStyle="1" w:styleId="53">
    <w:name w:val="text91"/>
    <w:autoRedefine/>
    <w:qFormat/>
    <w:uiPriority w:val="99"/>
    <w:rPr>
      <w:sz w:val="18"/>
      <w:szCs w:val="18"/>
      <w:u w:val="none"/>
    </w:rPr>
  </w:style>
  <w:style w:type="character" w:customStyle="1" w:styleId="54">
    <w:name w:val="正文文本缩进 Char1"/>
    <w:autoRedefine/>
    <w:qFormat/>
    <w:uiPriority w:val="99"/>
    <w:rPr>
      <w:kern w:val="2"/>
      <w:sz w:val="24"/>
      <w:szCs w:val="24"/>
    </w:rPr>
  </w:style>
  <w:style w:type="paragraph" w:customStyle="1" w:styleId="55">
    <w:name w:val="Char1"/>
    <w:basedOn w:val="1"/>
    <w:autoRedefine/>
    <w:qFormat/>
    <w:uiPriority w:val="99"/>
    <w:rPr>
      <w:rFonts w:ascii="仿宋_GB2312" w:eastAsia="仿宋_GB2312" w:cs="仿宋_GB2312"/>
      <w:b/>
      <w:bCs/>
      <w:sz w:val="32"/>
      <w:szCs w:val="32"/>
    </w:rPr>
  </w:style>
  <w:style w:type="paragraph" w:customStyle="1" w:styleId="56">
    <w:name w:val="表格"/>
    <w:basedOn w:val="1"/>
    <w:autoRedefine/>
    <w:qFormat/>
    <w:uiPriority w:val="0"/>
    <w:pPr>
      <w:spacing w:line="400" w:lineRule="exact"/>
    </w:pPr>
    <w:rPr>
      <w:sz w:val="24"/>
      <w:szCs w:val="24"/>
    </w:rPr>
  </w:style>
  <w:style w:type="paragraph" w:customStyle="1" w:styleId="57">
    <w:name w:val="style33"/>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autoRedefine/>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autoRedefine/>
    <w:qFormat/>
    <w:uiPriority w:val="99"/>
    <w:rPr>
      <w:rFonts w:ascii="Tahoma" w:hAnsi="Tahoma" w:cs="Tahoma"/>
      <w:b/>
      <w:bCs/>
      <w:sz w:val="36"/>
      <w:szCs w:val="36"/>
    </w:rPr>
  </w:style>
  <w:style w:type="paragraph" w:customStyle="1" w:styleId="62">
    <w:name w:val="正文首行缩进两字符"/>
    <w:basedOn w:val="1"/>
    <w:autoRedefine/>
    <w:qFormat/>
    <w:uiPriority w:val="99"/>
    <w:pPr>
      <w:spacing w:line="360" w:lineRule="auto"/>
      <w:ind w:firstLine="200" w:firstLineChars="200"/>
    </w:pPr>
  </w:style>
  <w:style w:type="paragraph" w:customStyle="1" w:styleId="63">
    <w:name w:val="列出段落1"/>
    <w:basedOn w:val="1"/>
    <w:autoRedefine/>
    <w:qFormat/>
    <w:uiPriority w:val="99"/>
    <w:pPr>
      <w:ind w:firstLine="420" w:firstLineChars="200"/>
    </w:pPr>
  </w:style>
  <w:style w:type="paragraph" w:customStyle="1" w:styleId="64">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autoRedefine/>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autoRedefine/>
    <w:qFormat/>
    <w:uiPriority w:val="99"/>
    <w:rPr>
      <w:rFonts w:ascii="宋体" w:hAnsi="宋体" w:eastAsia="宋体" w:cs="宋体"/>
      <w:color w:val="000000"/>
      <w:sz w:val="21"/>
      <w:szCs w:val="21"/>
      <w:u w:val="none"/>
    </w:rPr>
  </w:style>
  <w:style w:type="paragraph" w:customStyle="1" w:styleId="71">
    <w:name w:val="正文1"/>
    <w:autoRedefine/>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autoRedefine/>
    <w:qFormat/>
    <w:uiPriority w:val="99"/>
    <w:pPr>
      <w:spacing w:after="160" w:line="400" w:lineRule="exact"/>
      <w:ind w:firstLine="200" w:firstLineChars="200"/>
    </w:pPr>
    <w:rPr>
      <w:rFonts w:ascii="Calibri" w:hAnsi="Calibri" w:cs="Calibri"/>
      <w:sz w:val="24"/>
      <w:szCs w:val="24"/>
    </w:rPr>
  </w:style>
  <w:style w:type="character" w:customStyle="1" w:styleId="73">
    <w:name w:val="font111"/>
    <w:autoRedefine/>
    <w:qFormat/>
    <w:uiPriority w:val="99"/>
    <w:rPr>
      <w:rFonts w:ascii="E?" w:hAnsi="E?" w:eastAsia="Times New Roman" w:cs="E?"/>
      <w:color w:val="000000"/>
      <w:sz w:val="21"/>
      <w:szCs w:val="21"/>
      <w:u w:val="single"/>
    </w:rPr>
  </w:style>
  <w:style w:type="character" w:customStyle="1" w:styleId="74">
    <w:name w:val="font31"/>
    <w:autoRedefine/>
    <w:qFormat/>
    <w:uiPriority w:val="99"/>
    <w:rPr>
      <w:rFonts w:ascii="宋体" w:hAnsi="宋体" w:eastAsia="宋体" w:cs="宋体"/>
      <w:color w:val="000000"/>
      <w:sz w:val="21"/>
      <w:szCs w:val="21"/>
      <w:u w:val="none"/>
    </w:rPr>
  </w:style>
  <w:style w:type="paragraph" w:customStyle="1" w:styleId="75">
    <w:name w:val="修订5"/>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autoRedefine/>
    <w:qFormat/>
    <w:uiPriority w:val="99"/>
    <w:pPr>
      <w:ind w:firstLine="420" w:firstLineChars="200"/>
    </w:pPr>
  </w:style>
  <w:style w:type="paragraph" w:customStyle="1" w:styleId="77">
    <w:name w:val="修订6"/>
    <w:autoRedefine/>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autoRedefine/>
    <w:qFormat/>
    <w:uiPriority w:val="99"/>
    <w:pPr>
      <w:ind w:firstLine="420" w:firstLineChars="200"/>
    </w:pPr>
    <w:rPr>
      <w:rFonts w:ascii="Calibri" w:hAnsi="Calibri" w:cs="Calibri"/>
    </w:rPr>
  </w:style>
  <w:style w:type="character" w:customStyle="1" w:styleId="79">
    <w:name w:val="标题 5 Char"/>
    <w:basedOn w:val="30"/>
    <w:link w:val="7"/>
    <w:autoRedefine/>
    <w:qFormat/>
    <w:uiPriority w:val="0"/>
    <w:rPr>
      <w:rFonts w:ascii="宋体"/>
      <w:b/>
      <w:sz w:val="28"/>
    </w:rPr>
  </w:style>
  <w:style w:type="character" w:customStyle="1" w:styleId="80">
    <w:name w:val="标题 6 Char"/>
    <w:basedOn w:val="30"/>
    <w:link w:val="9"/>
    <w:autoRedefine/>
    <w:qFormat/>
    <w:uiPriority w:val="0"/>
    <w:rPr>
      <w:rFonts w:ascii="Arial" w:hAnsi="Arial" w:eastAsia="黑体"/>
      <w:b/>
      <w:sz w:val="24"/>
    </w:rPr>
  </w:style>
  <w:style w:type="character" w:customStyle="1" w:styleId="81">
    <w:name w:val="标题 7 Char"/>
    <w:basedOn w:val="30"/>
    <w:link w:val="10"/>
    <w:autoRedefine/>
    <w:qFormat/>
    <w:uiPriority w:val="0"/>
    <w:rPr>
      <w:rFonts w:ascii="宋体"/>
      <w:b/>
      <w:sz w:val="24"/>
    </w:rPr>
  </w:style>
  <w:style w:type="character" w:customStyle="1" w:styleId="82">
    <w:name w:val="标题 8 Char"/>
    <w:basedOn w:val="30"/>
    <w:link w:val="11"/>
    <w:autoRedefine/>
    <w:qFormat/>
    <w:uiPriority w:val="0"/>
    <w:rPr>
      <w:rFonts w:ascii="Arial" w:hAnsi="Arial" w:eastAsia="黑体"/>
      <w:sz w:val="24"/>
    </w:rPr>
  </w:style>
  <w:style w:type="character" w:customStyle="1" w:styleId="83">
    <w:name w:val="标题 9 Char"/>
    <w:basedOn w:val="30"/>
    <w:link w:val="12"/>
    <w:autoRedefine/>
    <w:qFormat/>
    <w:uiPriority w:val="0"/>
    <w:rPr>
      <w:rFonts w:ascii="Arial" w:hAnsi="Arial" w:eastAsia="黑体"/>
      <w:sz w:val="34"/>
    </w:rPr>
  </w:style>
  <w:style w:type="paragraph" w:customStyle="1" w:styleId="84">
    <w:name w:val="修订7"/>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autoRedefine/>
    <w:qFormat/>
    <w:uiPriority w:val="0"/>
    <w:rPr>
      <w:rFonts w:hint="eastAsia" w:ascii="Microsoft YaHei UI" w:hAnsi="Microsoft YaHei UI" w:eastAsia="Microsoft YaHei UI"/>
      <w:sz w:val="18"/>
      <w:szCs w:val="18"/>
    </w:rPr>
  </w:style>
  <w:style w:type="character" w:customStyle="1" w:styleId="88">
    <w:name w:val="font61"/>
    <w:basedOn w:val="30"/>
    <w:autoRedefine/>
    <w:qFormat/>
    <w:uiPriority w:val="0"/>
    <w:rPr>
      <w:rFonts w:hint="eastAsia" w:ascii="宋体" w:hAnsi="宋体" w:eastAsia="宋体" w:cs="宋体"/>
      <w:color w:val="000000"/>
      <w:sz w:val="22"/>
      <w:szCs w:val="22"/>
      <w:u w:val="none"/>
    </w:rPr>
  </w:style>
  <w:style w:type="character" w:customStyle="1" w:styleId="89">
    <w:name w:val="font71"/>
    <w:basedOn w:val="30"/>
    <w:autoRedefine/>
    <w:qFormat/>
    <w:uiPriority w:val="0"/>
    <w:rPr>
      <w:rFonts w:hint="eastAsia" w:ascii="宋体" w:hAnsi="宋体" w:eastAsia="宋体" w:cs="宋体"/>
      <w:color w:val="000000"/>
      <w:sz w:val="24"/>
      <w:szCs w:val="24"/>
      <w:u w:val="none"/>
    </w:rPr>
  </w:style>
  <w:style w:type="character" w:customStyle="1" w:styleId="90">
    <w:name w:val="font41"/>
    <w:basedOn w:val="30"/>
    <w:autoRedefine/>
    <w:qFormat/>
    <w:uiPriority w:val="0"/>
    <w:rPr>
      <w:rFonts w:hint="default" w:ascii="仿宋_GB2312" w:eastAsia="仿宋_GB2312" w:cs="仿宋_GB2312"/>
      <w:color w:val="000000"/>
      <w:sz w:val="24"/>
      <w:szCs w:val="24"/>
      <w:u w:val="none"/>
    </w:rPr>
  </w:style>
  <w:style w:type="character" w:customStyle="1" w:styleId="91">
    <w:name w:val="font81"/>
    <w:basedOn w:val="30"/>
    <w:autoRedefine/>
    <w:qFormat/>
    <w:uiPriority w:val="0"/>
    <w:rPr>
      <w:rFonts w:hint="eastAsia" w:ascii="宋体" w:hAnsi="宋体" w:eastAsia="宋体" w:cs="宋体"/>
      <w:color w:val="000000"/>
      <w:sz w:val="24"/>
      <w:szCs w:val="24"/>
      <w:u w:val="none"/>
    </w:rPr>
  </w:style>
  <w:style w:type="character" w:customStyle="1" w:styleId="92">
    <w:name w:val="font91"/>
    <w:basedOn w:val="30"/>
    <w:autoRedefine/>
    <w:qFormat/>
    <w:uiPriority w:val="0"/>
    <w:rPr>
      <w:rFonts w:hint="default" w:ascii="仿宋_GB2312" w:eastAsia="仿宋_GB2312" w:cs="仿宋_GB2312"/>
      <w:color w:val="000000"/>
      <w:sz w:val="24"/>
      <w:szCs w:val="24"/>
      <w:u w:val="none"/>
    </w:rPr>
  </w:style>
  <w:style w:type="character" w:customStyle="1" w:styleId="93">
    <w:name w:val="font01"/>
    <w:basedOn w:val="30"/>
    <w:autoRedefine/>
    <w:qFormat/>
    <w:uiPriority w:val="0"/>
    <w:rPr>
      <w:rFonts w:hint="eastAsia" w:ascii="宋体" w:hAnsi="宋体" w:eastAsia="宋体" w:cs="宋体"/>
      <w:color w:val="000000"/>
      <w:sz w:val="24"/>
      <w:szCs w:val="24"/>
      <w:u w:val="none"/>
    </w:rPr>
  </w:style>
  <w:style w:type="paragraph" w:customStyle="1" w:styleId="94">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95">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95A4CFE3-C15C-4021-8B5D-8CDB5835E86A}">
  <ds:schemaRefs/>
</ds:datastoreItem>
</file>

<file path=customXml/itemProps10.xml><?xml version="1.0" encoding="utf-8"?>
<ds:datastoreItem xmlns:ds="http://schemas.openxmlformats.org/officeDocument/2006/customXml" ds:itemID="{F9C2D663-9D8C-4690-8BAF-0167C6E22CBF}">
  <ds:schemaRefs/>
</ds:datastoreItem>
</file>

<file path=customXml/itemProps2.xml><?xml version="1.0" encoding="utf-8"?>
<ds:datastoreItem xmlns:ds="http://schemas.openxmlformats.org/officeDocument/2006/customXml" ds:itemID="{9873C647-F5F7-4D96-A294-D6BF7D670F5B}">
  <ds:schemaRefs/>
</ds:datastoreItem>
</file>

<file path=customXml/itemProps3.xml><?xml version="1.0" encoding="utf-8"?>
<ds:datastoreItem xmlns:ds="http://schemas.openxmlformats.org/officeDocument/2006/customXml" ds:itemID="{DCD2D1E6-C742-4B86-9CE5-3674E4ADCC7E}">
  <ds:schemaRefs/>
</ds:datastoreItem>
</file>

<file path=customXml/itemProps4.xml><?xml version="1.0" encoding="utf-8"?>
<ds:datastoreItem xmlns:ds="http://schemas.openxmlformats.org/officeDocument/2006/customXml" ds:itemID="{9AA6C34C-2934-4196-9AB4-74964D6C16FF}">
  <ds:schemaRefs/>
</ds:datastoreItem>
</file>

<file path=customXml/itemProps5.xml><?xml version="1.0" encoding="utf-8"?>
<ds:datastoreItem xmlns:ds="http://schemas.openxmlformats.org/officeDocument/2006/customXml" ds:itemID="{BCB7B9A4-5771-4773-B0BF-58A4DB4DC65A}">
  <ds:schemaRefs/>
</ds:datastoreItem>
</file>

<file path=customXml/itemProps6.xml><?xml version="1.0" encoding="utf-8"?>
<ds:datastoreItem xmlns:ds="http://schemas.openxmlformats.org/officeDocument/2006/customXml" ds:itemID="{95071FDB-6B9B-4F8F-821E-B2D06DA6EF25}">
  <ds:schemaRefs/>
</ds:datastoreItem>
</file>

<file path=customXml/itemProps7.xml><?xml version="1.0" encoding="utf-8"?>
<ds:datastoreItem xmlns:ds="http://schemas.openxmlformats.org/officeDocument/2006/customXml" ds:itemID="{19224E77-174D-4DA6-88C6-4027E1D8D23A}">
  <ds:schemaRefs/>
</ds:datastoreItem>
</file>

<file path=customXml/itemProps8.xml><?xml version="1.0" encoding="utf-8"?>
<ds:datastoreItem xmlns:ds="http://schemas.openxmlformats.org/officeDocument/2006/customXml" ds:itemID="{D1B86D0A-ABF1-4F19-8099-5C2F0FC74F66}">
  <ds:schemaRefs/>
</ds:datastoreItem>
</file>

<file path=customXml/itemProps9.xml><?xml version="1.0" encoding="utf-8"?>
<ds:datastoreItem xmlns:ds="http://schemas.openxmlformats.org/officeDocument/2006/customXml" ds:itemID="{0627D30F-6F3F-484B-A8DA-AAC31322CCA4}">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24</Pages>
  <Words>10276</Words>
  <Characters>10814</Characters>
  <Lines>72</Lines>
  <Paragraphs>20</Paragraphs>
  <TotalTime>27</TotalTime>
  <ScaleCrop>false</ScaleCrop>
  <LinksUpToDate>false</LinksUpToDate>
  <CharactersWithSpaces>10965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2024-04-22T02:58:00Z</dcterms:created>
  <dc:creator>cdedu</dc:creator>
  <cp:lastModifiedBy>陈锐</cp:lastModifiedBy>
  <cp:lastPrinted>2025-04-01T01:29:00Z</cp:lastPrinted>
  <dcterms:modified xsi:type="dcterms:W3CDTF">2025-07-08T09:04:32Z</dcterms:modified>
  <dc:title>询价通知书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2985E97B6F7147329DC5E1C496F223C2_13</vt:lpwstr>
  </property>
  <property fmtid="{D5CDD505-2E9C-101B-9397-08002B2CF9AE}" pid="4" name="KSOTemplateDocerSaveRecord">
    <vt:lpwstr>eyJoZGlkIjoiNmRmY2Q3MzE1NDViY2ZmZGIyODhhODdiMjBhNzgxZTEiLCJ1c2VySWQiOiI5NTgzOTg3NTMifQ==</vt:lpwstr>
  </property>
</Properties>
</file>