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36"/>
          <w:szCs w:val="36"/>
          <w:u w:val="none"/>
          <w:lang w:val="en-US" w:eastAsia="zh-CN" w:bidi="ar"/>
        </w:rPr>
      </w:pPr>
      <w:r>
        <w:rPr>
          <w:rFonts w:hint="eastAsia" w:ascii="黑体" w:hAnsi="黑体" w:eastAsia="黑体" w:cs="黑体"/>
          <w:i w:val="0"/>
          <w:iCs w:val="0"/>
          <w:color w:val="000000"/>
          <w:kern w:val="0"/>
          <w:sz w:val="36"/>
          <w:szCs w:val="36"/>
          <w:u w:val="none"/>
          <w:lang w:val="en-US" w:eastAsia="zh-CN" w:bidi="ar"/>
        </w:rPr>
        <w:t>资阳市中心医院</w:t>
      </w:r>
      <w:r>
        <w:rPr>
          <w:rFonts w:hint="eastAsia" w:ascii="黑体" w:hAnsi="黑体" w:eastAsia="黑体" w:cs="黑体"/>
          <w:i w:val="0"/>
          <w:iCs w:val="0"/>
          <w:color w:val="000000"/>
          <w:kern w:val="0"/>
          <w:sz w:val="36"/>
          <w:szCs w:val="36"/>
          <w:u w:val="none"/>
          <w:lang w:val="en-US" w:eastAsia="zh-CN" w:bidi="ar"/>
        </w:rPr>
        <w:br w:type="textWrapping"/>
      </w:r>
      <w:r>
        <w:rPr>
          <w:rFonts w:hint="eastAsia" w:ascii="黑体" w:hAnsi="黑体" w:eastAsia="黑体" w:cs="黑体"/>
          <w:i w:val="0"/>
          <w:iCs w:val="0"/>
          <w:color w:val="000000"/>
          <w:kern w:val="0"/>
          <w:sz w:val="36"/>
          <w:szCs w:val="36"/>
          <w:u w:val="none"/>
          <w:lang w:val="en-US" w:eastAsia="zh-CN" w:bidi="ar"/>
        </w:rPr>
        <w:t>住培基地信息化建设</w:t>
      </w:r>
      <w:r>
        <w:rPr>
          <w:rFonts w:hint="eastAsia" w:ascii="黑体" w:hAnsi="黑体" w:eastAsia="黑体" w:cs="黑体"/>
          <w:b w:val="0"/>
          <w:bCs w:val="0"/>
          <w:i w:val="0"/>
          <w:iCs w:val="0"/>
          <w:color w:val="000000"/>
          <w:kern w:val="0"/>
          <w:sz w:val="36"/>
          <w:szCs w:val="36"/>
          <w:u w:val="none"/>
          <w:lang w:val="en-US" w:eastAsia="zh-CN" w:bidi="ar"/>
        </w:rPr>
        <w:t>项目调研公告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因住院医师临床技能培训中心建设需求，现针对 OSCE 考核系统的硬件设施及软件系统开展市场调研工作，公开征集相关资料,欢迎各潜在供应商进行报名，现将有关事宜公告如下：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color w:val="0000FF"/>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pPr>
        <w:pStyle w:val="7"/>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（一）</w:t>
      </w:r>
      <w:r>
        <w:rPr>
          <w:rFonts w:hint="eastAsia" w:ascii="仿宋" w:hAnsi="仿宋" w:eastAsia="仿宋" w:cs="仿宋"/>
          <w:i w:val="0"/>
          <w:iCs w:val="0"/>
          <w:color w:val="auto"/>
          <w:sz w:val="28"/>
          <w:szCs w:val="28"/>
          <w:u w:val="none"/>
          <w:lang w:val="en-US" w:eastAsia="zh-CN"/>
        </w:rPr>
        <w:t>建设内容：</w:t>
      </w:r>
    </w:p>
    <w:tbl>
      <w:tblPr>
        <w:tblStyle w:val="15"/>
        <w:tblW w:w="55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053"/>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OSCE考核系统及与之匹配的信息化硬件建设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OSCE考核系统</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能够实现国家要求的客观结构化临床技能考试（OSCE）及相应的培训练习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信息化硬件建设</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能与OSCE考核系统匹配，共同实现OSCE考试信息化</w:t>
            </w:r>
          </w:p>
        </w:tc>
      </w:tr>
    </w:tbl>
    <w:p>
      <w:pPr>
        <w:numPr>
          <w:ilvl w:val="0"/>
          <w:numId w:val="0"/>
        </w:numPr>
        <w:rPr>
          <w:rFonts w:hint="eastAsia"/>
          <w:color w:val="auto"/>
          <w:lang w:val="en-US" w:eastAsia="zh-CN"/>
        </w:rPr>
      </w:pPr>
    </w:p>
    <w:p>
      <w:pPr>
        <w:pStyle w:val="7"/>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（二）功能需求</w:t>
      </w:r>
    </w:p>
    <w:tbl>
      <w:tblPr>
        <w:tblStyle w:val="15"/>
        <w:tblW w:w="9419" w:type="dxa"/>
        <w:tblInd w:w="-451" w:type="dxa"/>
        <w:tblLayout w:type="fixed"/>
        <w:tblCellMar>
          <w:top w:w="0" w:type="dxa"/>
          <w:left w:w="108" w:type="dxa"/>
          <w:bottom w:w="0" w:type="dxa"/>
          <w:right w:w="108" w:type="dxa"/>
        </w:tblCellMar>
      </w:tblPr>
      <w:tblGrid>
        <w:gridCol w:w="989"/>
        <w:gridCol w:w="1762"/>
        <w:gridCol w:w="6668"/>
      </w:tblGrid>
      <w:tr>
        <w:tblPrEx>
          <w:tblCellMar>
            <w:top w:w="0" w:type="dxa"/>
            <w:left w:w="108" w:type="dxa"/>
            <w:bottom w:w="0" w:type="dxa"/>
            <w:right w:w="108" w:type="dxa"/>
          </w:tblCellMar>
        </w:tblPrEx>
        <w:trPr>
          <w:trHeight w:val="324" w:hRule="atLeast"/>
        </w:trPr>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7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功能项</w:t>
            </w:r>
          </w:p>
        </w:tc>
        <w:tc>
          <w:tcPr>
            <w:tcW w:w="66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项目概述</w:t>
            </w:r>
          </w:p>
        </w:tc>
      </w:tr>
      <w:tr>
        <w:tblPrEx>
          <w:tblCellMar>
            <w:top w:w="0" w:type="dxa"/>
            <w:left w:w="108" w:type="dxa"/>
            <w:bottom w:w="0" w:type="dxa"/>
            <w:right w:w="108" w:type="dxa"/>
          </w:tblCellMar>
        </w:tblPrEx>
        <w:trPr>
          <w:trHeight w:val="324" w:hRule="atLeast"/>
        </w:trPr>
        <w:tc>
          <w:tcPr>
            <w:tcW w:w="94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2"/>
                <w:szCs w:val="22"/>
                <w:highlight w:val="none"/>
                <w:lang w:eastAsia="zh-CN"/>
              </w:rPr>
            </w:pPr>
            <w:r>
              <w:rPr>
                <w:rFonts w:hint="eastAsia" w:ascii="宋体" w:hAnsi="宋体" w:eastAsia="宋体" w:cs="宋体"/>
                <w:i w:val="0"/>
                <w:iCs w:val="0"/>
                <w:color w:val="auto"/>
                <w:sz w:val="22"/>
                <w:szCs w:val="22"/>
                <w:u w:val="none"/>
              </w:rPr>
              <w:t>OSCE考核系统</w:t>
            </w:r>
            <w:r>
              <w:rPr>
                <w:rFonts w:hint="eastAsia" w:ascii="宋体" w:hAnsi="宋体" w:eastAsia="宋体" w:cs="宋体"/>
                <w:i w:val="0"/>
                <w:iCs w:val="0"/>
                <w:color w:val="auto"/>
                <w:sz w:val="22"/>
                <w:szCs w:val="22"/>
                <w:u w:val="none"/>
                <w:lang w:eastAsia="zh-CN"/>
              </w:rPr>
              <w:t>（</w:t>
            </w:r>
            <w:r>
              <w:rPr>
                <w:rFonts w:hint="eastAsia" w:ascii="宋体" w:hAnsi="宋体" w:eastAsia="宋体" w:cs="宋体"/>
                <w:i w:val="0"/>
                <w:iCs w:val="0"/>
                <w:color w:val="auto"/>
                <w:sz w:val="22"/>
                <w:szCs w:val="22"/>
                <w:u w:val="none"/>
                <w:lang w:val="en-US" w:eastAsia="zh-CN"/>
              </w:rPr>
              <w:t>应满足但不限于以下功能</w:t>
            </w:r>
            <w:r>
              <w:rPr>
                <w:rFonts w:hint="eastAsia" w:ascii="宋体" w:hAnsi="宋体" w:eastAsia="宋体" w:cs="宋体"/>
                <w:i w:val="0"/>
                <w:iCs w:val="0"/>
                <w:color w:val="auto"/>
                <w:sz w:val="22"/>
                <w:szCs w:val="22"/>
                <w:u w:val="none"/>
                <w:lang w:eastAsia="zh-CN"/>
              </w:rPr>
              <w:t>）</w:t>
            </w:r>
          </w:p>
        </w:tc>
      </w:tr>
      <w:tr>
        <w:tblPrEx>
          <w:tblCellMar>
            <w:top w:w="0" w:type="dxa"/>
            <w:left w:w="108" w:type="dxa"/>
            <w:bottom w:w="0" w:type="dxa"/>
            <w:right w:w="108" w:type="dxa"/>
          </w:tblCellMar>
        </w:tblPrEx>
        <w:trPr>
          <w:trHeight w:val="575"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highlight w:val="none"/>
              </w:rPr>
            </w:pPr>
            <w:r>
              <w:rPr>
                <w:rFonts w:hint="eastAsia"/>
                <w:sz w:val="22"/>
                <w:szCs w:val="22"/>
              </w:rPr>
              <w:t>技能试题库管理</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有一定量的题库，同时支持修改、添加、删除病例功能</w:t>
            </w:r>
          </w:p>
        </w:tc>
      </w:tr>
      <w:tr>
        <w:tblPrEx>
          <w:tblCellMar>
            <w:top w:w="0" w:type="dxa"/>
            <w:left w:w="108" w:type="dxa"/>
            <w:bottom w:w="0" w:type="dxa"/>
            <w:right w:w="108" w:type="dxa"/>
          </w:tblCellMar>
        </w:tblPrEx>
        <w:trPr>
          <w:trHeight w:val="575"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2</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sz w:val="22"/>
                <w:szCs w:val="22"/>
              </w:rPr>
              <w:t>视频</w:t>
            </w:r>
            <w:r>
              <w:rPr>
                <w:rFonts w:hint="eastAsia"/>
                <w:sz w:val="22"/>
                <w:szCs w:val="22"/>
                <w:lang w:val="en-US" w:eastAsia="zh-CN"/>
              </w:rPr>
              <w:t>学习</w:t>
            </w:r>
            <w:r>
              <w:rPr>
                <w:rFonts w:hint="eastAsia"/>
                <w:sz w:val="22"/>
                <w:szCs w:val="22"/>
              </w:rPr>
              <w:t>资源</w:t>
            </w:r>
          </w:p>
        </w:tc>
        <w:tc>
          <w:tcPr>
            <w:tcW w:w="6668"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0"/>
                <w:sz w:val="22"/>
                <w:szCs w:val="22"/>
                <w:highlight w:val="none"/>
                <w:lang w:val="en-US" w:eastAsia="zh-CN" w:bidi="ar-SA"/>
              </w:rPr>
            </w:pPr>
            <w:r>
              <w:rPr>
                <w:rFonts w:hint="eastAsia"/>
                <w:sz w:val="22"/>
                <w:szCs w:val="22"/>
              </w:rPr>
              <w:t>支持播放视频资料，各角色人员可随时观看学习</w:t>
            </w:r>
          </w:p>
        </w:tc>
      </w:tr>
      <w:tr>
        <w:tblPrEx>
          <w:tblCellMar>
            <w:top w:w="0" w:type="dxa"/>
            <w:left w:w="108" w:type="dxa"/>
            <w:bottom w:w="0" w:type="dxa"/>
            <w:right w:w="108" w:type="dxa"/>
          </w:tblCellMar>
        </w:tblPrEx>
        <w:trPr>
          <w:trHeight w:val="639"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3</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highlight w:val="none"/>
              </w:rPr>
            </w:pPr>
            <w:r>
              <w:rPr>
                <w:rFonts w:hint="eastAsia"/>
                <w:sz w:val="22"/>
                <w:szCs w:val="22"/>
              </w:rPr>
              <w:t>考核视频资源管理</w:t>
            </w:r>
          </w:p>
        </w:tc>
        <w:tc>
          <w:tcPr>
            <w:tcW w:w="6668" w:type="dxa"/>
            <w:tcBorders>
              <w:top w:val="nil"/>
              <w:left w:val="nil"/>
              <w:bottom w:val="single" w:color="auto" w:sz="4" w:space="0"/>
              <w:right w:val="single" w:color="auto" w:sz="4" w:space="0"/>
            </w:tcBorders>
            <w:shd w:val="clear" w:color="auto" w:fill="auto"/>
            <w:vAlign w:val="center"/>
          </w:tcPr>
          <w:p>
            <w:pPr>
              <w:rPr>
                <w:rFonts w:hint="eastAsia"/>
                <w:sz w:val="22"/>
                <w:szCs w:val="22"/>
              </w:rPr>
            </w:pPr>
            <w:r>
              <w:rPr>
                <w:rFonts w:hint="eastAsia"/>
                <w:sz w:val="22"/>
                <w:szCs w:val="22"/>
              </w:rPr>
              <w:t>1）支持查询考生的考试视频，</w:t>
            </w:r>
          </w:p>
          <w:p>
            <w:pPr>
              <w:rPr>
                <w:rFonts w:hint="default" w:ascii="宋体" w:hAnsi="宋体" w:eastAsia="宋体" w:cs="宋体"/>
                <w:color w:val="auto"/>
                <w:kern w:val="0"/>
                <w:sz w:val="22"/>
                <w:szCs w:val="22"/>
                <w:highlight w:val="none"/>
                <w:lang w:val="en-US" w:eastAsia="zh-CN"/>
              </w:rPr>
            </w:pPr>
            <w:r>
              <w:rPr>
                <w:rFonts w:hint="eastAsia"/>
                <w:sz w:val="22"/>
                <w:szCs w:val="22"/>
              </w:rPr>
              <w:t>2）支持管理教师对考核视频中指定的时间点设置评语和标记图标；</w:t>
            </w:r>
          </w:p>
        </w:tc>
      </w:tr>
      <w:tr>
        <w:tblPrEx>
          <w:tblCellMar>
            <w:top w:w="0" w:type="dxa"/>
            <w:left w:w="108" w:type="dxa"/>
            <w:bottom w:w="0" w:type="dxa"/>
            <w:right w:w="108" w:type="dxa"/>
          </w:tblCellMar>
        </w:tblPrEx>
        <w:trPr>
          <w:trHeight w:val="1269"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4</w:t>
            </w:r>
          </w:p>
        </w:tc>
        <w:tc>
          <w:tcPr>
            <w:tcW w:w="1762" w:type="dxa"/>
            <w:tcBorders>
              <w:top w:val="nil"/>
              <w:left w:val="nil"/>
              <w:bottom w:val="single" w:color="auto" w:sz="4" w:space="0"/>
              <w:right w:val="single" w:color="auto" w:sz="4" w:space="0"/>
            </w:tcBorders>
            <w:shd w:val="clear" w:color="auto" w:fill="auto"/>
            <w:vAlign w:val="center"/>
          </w:tcPr>
          <w:p>
            <w:pPr>
              <w:rPr>
                <w:rFonts w:hint="eastAsia"/>
                <w:sz w:val="22"/>
                <w:szCs w:val="22"/>
              </w:rPr>
            </w:pPr>
            <w:r>
              <w:rPr>
                <w:rFonts w:hint="eastAsia"/>
                <w:sz w:val="22"/>
                <w:szCs w:val="22"/>
              </w:rPr>
              <w:t>技能考试系统</w:t>
            </w:r>
          </w:p>
          <w:p>
            <w:pPr>
              <w:widowControl/>
              <w:jc w:val="center"/>
              <w:rPr>
                <w:rFonts w:hint="eastAsia" w:ascii="宋体" w:hAnsi="宋体" w:eastAsia="宋体" w:cs="宋体"/>
                <w:color w:val="auto"/>
                <w:kern w:val="0"/>
                <w:sz w:val="22"/>
                <w:szCs w:val="22"/>
                <w:highlight w:val="none"/>
              </w:rPr>
            </w:pP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eastAsiaTheme="minorEastAsia"/>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1）可添加考试、培训；2）导入评分规则；3）导入考生、考官信息；4）自动排考；5）</w:t>
            </w:r>
            <w:r>
              <w:rPr>
                <w:rFonts w:hint="eastAsia"/>
                <w:sz w:val="22"/>
                <w:szCs w:val="22"/>
              </w:rPr>
              <w:t>考生刷身份证、人脸、指纹或者准考证二维码</w:t>
            </w:r>
            <w:r>
              <w:rPr>
                <w:rFonts w:hint="eastAsia"/>
                <w:sz w:val="22"/>
                <w:szCs w:val="22"/>
                <w:lang w:val="en-US" w:eastAsia="zh-CN"/>
              </w:rPr>
              <w:t>等方式</w:t>
            </w:r>
            <w:r>
              <w:rPr>
                <w:rFonts w:hint="eastAsia"/>
                <w:sz w:val="22"/>
                <w:szCs w:val="22"/>
              </w:rPr>
              <w:t>签到</w:t>
            </w:r>
            <w:r>
              <w:rPr>
                <w:rFonts w:hint="eastAsia"/>
                <w:sz w:val="22"/>
                <w:szCs w:val="22"/>
                <w:lang w:eastAsia="zh-CN"/>
              </w:rPr>
              <w:t>，</w:t>
            </w:r>
            <w:r>
              <w:rPr>
                <w:rFonts w:hint="eastAsia"/>
                <w:sz w:val="22"/>
                <w:szCs w:val="22"/>
                <w:lang w:val="en-US" w:eastAsia="zh-CN"/>
              </w:rPr>
              <w:t>可查看、导出签到记录。6</w:t>
            </w:r>
            <w:r>
              <w:rPr>
                <w:rFonts w:hint="eastAsia" w:ascii="宋体" w:hAnsi="宋体" w:eastAsia="宋体" w:cs="宋体"/>
                <w:color w:val="auto"/>
                <w:kern w:val="0"/>
                <w:sz w:val="22"/>
                <w:szCs w:val="22"/>
                <w:highlight w:val="none"/>
                <w:lang w:val="en-US" w:eastAsia="zh-CN"/>
              </w:rPr>
              <w:t>）支持考官在线评分；7）考官远程在线评分；8）</w:t>
            </w:r>
            <w:r>
              <w:rPr>
                <w:rFonts w:hint="eastAsia"/>
                <w:sz w:val="22"/>
                <w:szCs w:val="22"/>
              </w:rPr>
              <w:t>自动统计</w:t>
            </w:r>
            <w:r>
              <w:rPr>
                <w:rFonts w:hint="eastAsia"/>
                <w:sz w:val="22"/>
                <w:szCs w:val="22"/>
                <w:lang w:eastAsia="zh-CN"/>
              </w:rPr>
              <w:t>、</w:t>
            </w:r>
            <w:r>
              <w:rPr>
                <w:rFonts w:hint="eastAsia"/>
                <w:sz w:val="22"/>
                <w:szCs w:val="22"/>
                <w:lang w:val="en-US" w:eastAsia="zh-CN"/>
              </w:rPr>
              <w:t>分析</w:t>
            </w:r>
            <w:r>
              <w:rPr>
                <w:rFonts w:hint="eastAsia"/>
                <w:sz w:val="22"/>
                <w:szCs w:val="22"/>
              </w:rPr>
              <w:t>考生成绩；</w:t>
            </w:r>
            <w:r>
              <w:rPr>
                <w:rFonts w:hint="eastAsia"/>
                <w:sz w:val="22"/>
                <w:szCs w:val="22"/>
                <w:lang w:val="en-US" w:eastAsia="zh-CN"/>
              </w:rPr>
              <w:t>9）考官填写</w:t>
            </w:r>
            <w:r>
              <w:rPr>
                <w:rFonts w:hint="eastAsia"/>
                <w:sz w:val="22"/>
                <w:szCs w:val="22"/>
              </w:rPr>
              <w:t>考核反馈</w:t>
            </w:r>
            <w:r>
              <w:rPr>
                <w:rFonts w:hint="eastAsia"/>
                <w:sz w:val="22"/>
                <w:szCs w:val="22"/>
                <w:lang w:eastAsia="zh-CN"/>
              </w:rPr>
              <w:t>；</w:t>
            </w:r>
          </w:p>
        </w:tc>
      </w:tr>
      <w:tr>
        <w:tblPrEx>
          <w:tblCellMar>
            <w:top w:w="0" w:type="dxa"/>
            <w:left w:w="108" w:type="dxa"/>
            <w:bottom w:w="0" w:type="dxa"/>
            <w:right w:w="108" w:type="dxa"/>
          </w:tblCellMar>
        </w:tblPrEx>
        <w:trPr>
          <w:trHeight w:val="324"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5</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培训模式</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学员可预约培训项目及教室，并有物资准备提醒</w:t>
            </w:r>
          </w:p>
        </w:tc>
      </w:tr>
      <w:tr>
        <w:tblPrEx>
          <w:tblCellMar>
            <w:top w:w="0" w:type="dxa"/>
            <w:left w:w="108" w:type="dxa"/>
            <w:bottom w:w="0" w:type="dxa"/>
            <w:right w:w="108" w:type="dxa"/>
          </w:tblCellMar>
        </w:tblPrEx>
        <w:trPr>
          <w:trHeight w:val="324"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6</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中央总控系统</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highlight w:val="none"/>
              </w:rPr>
            </w:pPr>
            <w:r>
              <w:rPr>
                <w:rFonts w:hint="eastAsia"/>
                <w:sz w:val="22"/>
                <w:szCs w:val="22"/>
              </w:rPr>
              <w:t>中央总控系统可以监控整个考试情况</w:t>
            </w:r>
          </w:p>
        </w:tc>
      </w:tr>
      <w:tr>
        <w:tblPrEx>
          <w:tblCellMar>
            <w:top w:w="0" w:type="dxa"/>
            <w:left w:w="108" w:type="dxa"/>
            <w:bottom w:w="0" w:type="dxa"/>
            <w:right w:w="108" w:type="dxa"/>
          </w:tblCellMar>
        </w:tblPrEx>
        <w:trPr>
          <w:trHeight w:val="639"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7</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highlight w:val="none"/>
              </w:rPr>
            </w:pPr>
            <w:r>
              <w:rPr>
                <w:rFonts w:hint="eastAsia"/>
                <w:sz w:val="22"/>
                <w:szCs w:val="22"/>
              </w:rPr>
              <w:t>候考信息展示系统</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highlight w:val="none"/>
              </w:rPr>
            </w:pPr>
            <w:r>
              <w:rPr>
                <w:rFonts w:hint="eastAsia"/>
                <w:sz w:val="22"/>
                <w:szCs w:val="22"/>
                <w:lang w:val="en-US" w:eastAsia="zh-CN"/>
              </w:rPr>
              <w:t>1）</w:t>
            </w:r>
            <w:r>
              <w:rPr>
                <w:rFonts w:hint="eastAsia"/>
                <w:sz w:val="22"/>
                <w:szCs w:val="22"/>
              </w:rPr>
              <w:t>显示考生信息</w:t>
            </w:r>
            <w:r>
              <w:rPr>
                <w:rFonts w:hint="eastAsia"/>
                <w:sz w:val="22"/>
                <w:szCs w:val="22"/>
                <w:lang w:eastAsia="zh-CN"/>
              </w:rPr>
              <w:t>、</w:t>
            </w:r>
            <w:r>
              <w:rPr>
                <w:rFonts w:hint="eastAsia"/>
                <w:sz w:val="22"/>
                <w:szCs w:val="22"/>
                <w:lang w:val="en-US" w:eastAsia="zh-CN"/>
              </w:rPr>
              <w:t>状态（待考、正在考、已考）</w:t>
            </w:r>
            <w:r>
              <w:rPr>
                <w:rFonts w:hint="eastAsia"/>
                <w:sz w:val="22"/>
                <w:szCs w:val="22"/>
                <w:lang w:eastAsia="zh-CN"/>
              </w:rPr>
              <w:t>；</w:t>
            </w:r>
            <w:r>
              <w:rPr>
                <w:rFonts w:hint="eastAsia"/>
                <w:sz w:val="22"/>
                <w:szCs w:val="22"/>
                <w:lang w:val="en-US" w:eastAsia="zh-CN"/>
              </w:rPr>
              <w:t>2）</w:t>
            </w:r>
            <w:r>
              <w:rPr>
                <w:rFonts w:hint="eastAsia"/>
                <w:sz w:val="22"/>
                <w:szCs w:val="22"/>
              </w:rPr>
              <w:t>能引导学员进站考试，引导到</w:t>
            </w:r>
            <w:r>
              <w:rPr>
                <w:rFonts w:hint="eastAsia"/>
                <w:sz w:val="22"/>
                <w:szCs w:val="22"/>
                <w:lang w:val="en-US" w:eastAsia="zh-CN"/>
              </w:rPr>
              <w:t>某具体考站</w:t>
            </w:r>
            <w:r>
              <w:rPr>
                <w:rFonts w:hint="eastAsia"/>
                <w:sz w:val="22"/>
                <w:szCs w:val="22"/>
              </w:rPr>
              <w:t>；</w:t>
            </w:r>
          </w:p>
        </w:tc>
      </w:tr>
      <w:tr>
        <w:tblPrEx>
          <w:tblCellMar>
            <w:top w:w="0" w:type="dxa"/>
            <w:left w:w="108" w:type="dxa"/>
            <w:bottom w:w="0" w:type="dxa"/>
            <w:right w:w="108" w:type="dxa"/>
          </w:tblCellMar>
        </w:tblPrEx>
        <w:trPr>
          <w:trHeight w:val="1139"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8</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highlight w:val="none"/>
              </w:rPr>
            </w:pPr>
            <w:r>
              <w:rPr>
                <w:rFonts w:hint="eastAsia"/>
                <w:sz w:val="22"/>
                <w:szCs w:val="22"/>
              </w:rPr>
              <w:t>考站外信息展示系统</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highlight w:val="none"/>
              </w:rPr>
            </w:pPr>
            <w:r>
              <w:rPr>
                <w:rFonts w:hint="eastAsia"/>
                <w:sz w:val="22"/>
                <w:szCs w:val="22"/>
              </w:rPr>
              <w:t>支持显示考生照片、考生姓名、学号（考号）</w:t>
            </w:r>
            <w:r>
              <w:rPr>
                <w:rFonts w:hint="eastAsia"/>
                <w:sz w:val="22"/>
                <w:szCs w:val="22"/>
                <w:lang w:eastAsia="zh-CN"/>
              </w:rPr>
              <w:t>，</w:t>
            </w:r>
            <w:r>
              <w:rPr>
                <w:rFonts w:hint="eastAsia"/>
                <w:sz w:val="22"/>
                <w:szCs w:val="22"/>
              </w:rPr>
              <w:t>方便考官对考生信息的检查</w:t>
            </w:r>
          </w:p>
        </w:tc>
      </w:tr>
      <w:tr>
        <w:tblPrEx>
          <w:tblCellMar>
            <w:top w:w="0" w:type="dxa"/>
            <w:left w:w="108" w:type="dxa"/>
            <w:bottom w:w="0" w:type="dxa"/>
            <w:right w:w="108" w:type="dxa"/>
          </w:tblCellMar>
        </w:tblPrEx>
        <w:trPr>
          <w:trHeight w:val="857"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9</w:t>
            </w:r>
          </w:p>
        </w:tc>
        <w:tc>
          <w:tcPr>
            <w:tcW w:w="1762" w:type="dxa"/>
            <w:tcBorders>
              <w:top w:val="nil"/>
              <w:left w:val="nil"/>
              <w:bottom w:val="single" w:color="auto" w:sz="4" w:space="0"/>
              <w:right w:val="single" w:color="auto" w:sz="4" w:space="0"/>
            </w:tcBorders>
            <w:shd w:val="clear" w:color="auto" w:fill="auto"/>
            <w:vAlign w:val="center"/>
          </w:tcPr>
          <w:p>
            <w:pPr>
              <w:rPr>
                <w:rFonts w:hint="eastAsia"/>
                <w:sz w:val="22"/>
                <w:szCs w:val="22"/>
              </w:rPr>
            </w:pPr>
            <w:r>
              <w:rPr>
                <w:rFonts w:hint="eastAsia"/>
                <w:sz w:val="22"/>
                <w:szCs w:val="22"/>
              </w:rPr>
              <w:t>考站内辅助系统</w:t>
            </w:r>
          </w:p>
          <w:p>
            <w:pPr>
              <w:widowControl/>
              <w:jc w:val="center"/>
              <w:rPr>
                <w:rFonts w:hint="eastAsia" w:ascii="宋体" w:hAnsi="宋体" w:eastAsia="宋体" w:cs="宋体"/>
                <w:color w:val="auto"/>
                <w:kern w:val="0"/>
                <w:sz w:val="22"/>
                <w:szCs w:val="22"/>
                <w:highlight w:val="none"/>
              </w:rPr>
            </w:pPr>
          </w:p>
        </w:tc>
        <w:tc>
          <w:tcPr>
            <w:tcW w:w="6668"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2"/>
                <w:szCs w:val="22"/>
              </w:rPr>
            </w:pPr>
            <w:r>
              <w:rPr>
                <w:rFonts w:hint="eastAsia"/>
                <w:sz w:val="22"/>
                <w:szCs w:val="22"/>
                <w:lang w:val="en-US" w:eastAsia="zh-CN"/>
              </w:rPr>
              <w:t>1）</w:t>
            </w:r>
            <w:r>
              <w:rPr>
                <w:rFonts w:hint="eastAsia"/>
                <w:sz w:val="22"/>
                <w:szCs w:val="22"/>
              </w:rPr>
              <w:t>支持显示</w:t>
            </w:r>
            <w:r>
              <w:rPr>
                <w:rFonts w:hint="eastAsia" w:asciiTheme="minorEastAsia" w:hAnsiTheme="minorEastAsia" w:eastAsiaTheme="minorEastAsia" w:cstheme="minorEastAsia"/>
                <w:sz w:val="22"/>
                <w:szCs w:val="22"/>
              </w:rPr>
              <w:t>考生照片、考生姓名、考试时长、剩余时长和下一个考站；</w:t>
            </w:r>
          </w:p>
          <w:p>
            <w:pPr>
              <w:widowControl/>
              <w:jc w:val="left"/>
              <w:rPr>
                <w:rFonts w:hint="eastAsia" w:ascii="宋体" w:hAnsi="宋体" w:eastAsia="宋体" w:cs="宋体"/>
                <w:color w:val="auto"/>
                <w:kern w:val="0"/>
                <w:sz w:val="22"/>
                <w:szCs w:val="22"/>
                <w:highlight w:val="none"/>
                <w:lang w:eastAsia="zh-CN"/>
              </w:rPr>
            </w:pP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）支持显示考试病例，</w:t>
            </w:r>
          </w:p>
        </w:tc>
      </w:tr>
      <w:tr>
        <w:tblPrEx>
          <w:tblCellMar>
            <w:top w:w="0" w:type="dxa"/>
            <w:left w:w="108" w:type="dxa"/>
            <w:bottom w:w="0" w:type="dxa"/>
            <w:right w:w="108" w:type="dxa"/>
          </w:tblCellMar>
        </w:tblPrEx>
        <w:trPr>
          <w:trHeight w:val="90"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highlight w:val="none"/>
              </w:rPr>
            </w:pPr>
            <w:r>
              <w:rPr>
                <w:rFonts w:hint="eastAsia"/>
                <w:sz w:val="22"/>
                <w:szCs w:val="22"/>
              </w:rPr>
              <w:t>成绩管理</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可根据条件查询所有考生的考试成绩</w:t>
            </w:r>
          </w:p>
        </w:tc>
      </w:tr>
      <w:tr>
        <w:tblPrEx>
          <w:tblCellMar>
            <w:top w:w="0" w:type="dxa"/>
            <w:left w:w="108" w:type="dxa"/>
            <w:bottom w:w="0" w:type="dxa"/>
            <w:right w:w="108" w:type="dxa"/>
          </w:tblCellMar>
        </w:tblPrEx>
        <w:trPr>
          <w:trHeight w:val="324"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11</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default" w:eastAsiaTheme="minorEastAsia"/>
                <w:sz w:val="22"/>
                <w:szCs w:val="22"/>
                <w:lang w:val="en-US" w:eastAsia="zh-CN"/>
              </w:rPr>
            </w:pPr>
            <w:r>
              <w:rPr>
                <w:rFonts w:hint="eastAsia"/>
                <w:sz w:val="22"/>
                <w:szCs w:val="22"/>
                <w:lang w:val="en-US" w:eastAsia="zh-CN"/>
              </w:rPr>
              <w:t>移动端</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1）支持与 PC 端管理系统双向同步（如考官评分后，PC 端实时更新考生成绩汇总表），确保多端数据一致性。</w:t>
            </w:r>
          </w:p>
          <w:p>
            <w:pPr>
              <w:widowControl/>
              <w:jc w:val="left"/>
              <w:rPr>
                <w:rFonts w:hint="eastAsia"/>
                <w:lang w:val="en-US" w:eastAsia="zh-CN"/>
              </w:rPr>
            </w:pPr>
            <w:r>
              <w:rPr>
                <w:rFonts w:hint="eastAsia" w:ascii="宋体" w:hAnsi="宋体" w:eastAsia="宋体" w:cs="宋体"/>
                <w:color w:val="auto"/>
                <w:kern w:val="0"/>
                <w:sz w:val="22"/>
                <w:szCs w:val="22"/>
                <w:highlight w:val="none"/>
                <w:lang w:val="en-US" w:eastAsia="zh-CN"/>
              </w:rPr>
              <w:t>2）跨平台适配</w:t>
            </w:r>
          </w:p>
        </w:tc>
      </w:tr>
      <w:tr>
        <w:tblPrEx>
          <w:tblCellMar>
            <w:top w:w="0" w:type="dxa"/>
            <w:left w:w="108" w:type="dxa"/>
            <w:bottom w:w="0" w:type="dxa"/>
            <w:right w:w="108" w:type="dxa"/>
          </w:tblCellMar>
        </w:tblPrEx>
        <w:trPr>
          <w:trHeight w:val="332" w:hRule="atLeast"/>
        </w:trPr>
        <w:tc>
          <w:tcPr>
            <w:tcW w:w="941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i w:val="0"/>
                <w:iCs w:val="0"/>
                <w:color w:val="auto"/>
                <w:sz w:val="22"/>
                <w:szCs w:val="22"/>
                <w:u w:val="none"/>
              </w:rPr>
              <w:t>信息化硬件建设</w:t>
            </w:r>
            <w:r>
              <w:rPr>
                <w:rFonts w:hint="eastAsia" w:ascii="宋体" w:hAnsi="宋体" w:eastAsia="宋体" w:cs="宋体"/>
                <w:i w:val="0"/>
                <w:iCs w:val="0"/>
                <w:color w:val="auto"/>
                <w:sz w:val="22"/>
                <w:szCs w:val="22"/>
                <w:u w:val="none"/>
                <w:lang w:eastAsia="zh-CN"/>
              </w:rPr>
              <w:t>（</w:t>
            </w:r>
            <w:r>
              <w:rPr>
                <w:rFonts w:hint="eastAsia" w:ascii="宋体" w:hAnsi="宋体" w:eastAsia="宋体" w:cs="宋体"/>
                <w:i w:val="0"/>
                <w:iCs w:val="0"/>
                <w:color w:val="auto"/>
                <w:sz w:val="22"/>
                <w:szCs w:val="22"/>
                <w:u w:val="none"/>
                <w:lang w:val="en-US" w:eastAsia="zh-CN"/>
              </w:rPr>
              <w:t>应满足但不限于以下需求</w:t>
            </w:r>
            <w:r>
              <w:rPr>
                <w:rFonts w:hint="eastAsia" w:ascii="宋体" w:hAnsi="宋体" w:eastAsia="宋体" w:cs="宋体"/>
                <w:i w:val="0"/>
                <w:iCs w:val="0"/>
                <w:color w:val="auto"/>
                <w:sz w:val="22"/>
                <w:szCs w:val="22"/>
                <w:u w:val="none"/>
                <w:lang w:eastAsia="zh-CN"/>
              </w:rPr>
              <w:t>）</w:t>
            </w:r>
          </w:p>
        </w:tc>
      </w:tr>
      <w:tr>
        <w:tblPrEx>
          <w:tblCellMar>
            <w:top w:w="0" w:type="dxa"/>
            <w:left w:w="108" w:type="dxa"/>
            <w:bottom w:w="0" w:type="dxa"/>
            <w:right w:w="108" w:type="dxa"/>
          </w:tblCellMar>
        </w:tblPrEx>
        <w:trPr>
          <w:trHeight w:val="569"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考场</w:t>
            </w:r>
          </w:p>
        </w:tc>
        <w:tc>
          <w:tcPr>
            <w:tcW w:w="666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一共12个考场</w:t>
            </w:r>
          </w:p>
        </w:tc>
      </w:tr>
      <w:tr>
        <w:tblPrEx>
          <w:tblCellMar>
            <w:top w:w="0" w:type="dxa"/>
            <w:left w:w="108" w:type="dxa"/>
            <w:bottom w:w="0" w:type="dxa"/>
            <w:right w:w="108" w:type="dxa"/>
          </w:tblCellMar>
        </w:tblPrEx>
        <w:trPr>
          <w:trHeight w:val="334" w:hRule="atLeast"/>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配套硬件</w:t>
            </w:r>
          </w:p>
        </w:tc>
        <w:tc>
          <w:tcPr>
            <w:tcW w:w="6668" w:type="dxa"/>
            <w:tcBorders>
              <w:top w:val="nil"/>
              <w:left w:val="nil"/>
              <w:bottom w:val="single" w:color="auto" w:sz="4" w:space="0"/>
              <w:right w:val="single" w:color="auto" w:sz="4" w:space="0"/>
            </w:tcBorders>
            <w:shd w:val="clear" w:color="auto" w:fill="auto"/>
            <w:vAlign w:val="center"/>
          </w:tcPr>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1.考务系统搭建</w:t>
            </w:r>
          </w:p>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1)建设要求：基于搭建的网络系统，结合临床技能中心的考站设备，搭建服务于临床技能中心的专用考务系统，实现全过程软硬件结合信息化管控的智能化考核，满足考试全程自动化录制、自动叫号等需求。</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2)主要配置：包含考题平板电脑等设备，可满足与智能化管理软件的对接需求。</w:t>
            </w:r>
          </w:p>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2.网络系统</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1)建设要求：基于院方当前的网络条件，搭建服务于临床技能中心管理的专用网络系统，满足临床技能中心智能化管理的各项要求。</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2)主要配置：网络通讯设备、无线AP等设备，可满足与智能化管理软件的对接需求。</w:t>
            </w:r>
          </w:p>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3.监控系统搭建</w:t>
            </w:r>
          </w:p>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1)建设要求：基于上述搭建的网络系统，结合临床技能中心监控设备，搭建服务于临床技能中心的专用监控系统，满足其日常监控、考核监控等需求。</w:t>
            </w:r>
          </w:p>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2)主要配置：包含监控摄像机、特写摄像机、中控大屏等设备，可满足与智能化管理软件的对接需求。</w:t>
            </w:r>
          </w:p>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4.音频系统搭建</w:t>
            </w:r>
          </w:p>
          <w:p>
            <w:pPr>
              <w:rPr>
                <w:rFonts w:hint="default"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1)建设要求：基于上述搭建的网络系统，结合临床技能中心的音频设备，搭建专用的音频系统，实现临床技能中心音频设备的全覆盖，满足临床技能中心多终端通话及广播等需求。</w:t>
            </w:r>
          </w:p>
          <w:p>
            <w:pPr>
              <w:rPr>
                <w:rFonts w:hint="default" w:ascii="宋体" w:hAnsi="宋体" w:eastAsia="宋体" w:cs="宋体"/>
                <w:color w:val="auto"/>
                <w:kern w:val="0"/>
                <w:sz w:val="22"/>
                <w:szCs w:val="22"/>
                <w:highlight w:val="none"/>
                <w:lang w:val="en-US" w:eastAsia="zh-CN"/>
              </w:rPr>
            </w:pPr>
            <w:r>
              <w:rPr>
                <w:rFonts w:hint="eastAsia" w:asciiTheme="minorEastAsia" w:hAnsiTheme="minorEastAsia" w:eastAsiaTheme="minorEastAsia" w:cstheme="minorEastAsia"/>
                <w:sz w:val="22"/>
                <w:szCs w:val="22"/>
              </w:rPr>
              <w:t>2)主要配置：包含音箱、话筒等设备，可满足与智能化管理软件的对接需求。</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仿宋" w:hAnsi="仿宋" w:eastAsia="仿宋" w:cs="仿宋"/>
          <w:i w:val="0"/>
          <w:iCs w:val="0"/>
          <w:color w:val="0000FF"/>
          <w:kern w:val="2"/>
          <w:sz w:val="28"/>
          <w:szCs w:val="28"/>
          <w:u w:val="none"/>
          <w:lang w:val="en-US" w:eastAsia="zh-CN" w:bidi="zh-CN"/>
        </w:rPr>
      </w:pPr>
    </w:p>
    <w:p>
      <w:pPr>
        <w:keepNext w:val="0"/>
        <w:keepLines w:val="0"/>
        <w:pageBreakBefore w:val="0"/>
        <w:numPr>
          <w:ilvl w:val="0"/>
          <w:numId w:val="1"/>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项目要求</w:t>
      </w:r>
    </w:p>
    <w:p>
      <w:pPr>
        <w:pStyle w:val="2"/>
        <w:widowControl w:val="0"/>
        <w:numPr>
          <w:ilvl w:val="0"/>
          <w:numId w:val="0"/>
        </w:numPr>
        <w:autoSpaceDE w:val="0"/>
        <w:autoSpaceDN w:val="0"/>
        <w:adjustRightInd w:val="0"/>
        <w:rPr>
          <w:rFonts w:hint="eastAsia"/>
          <w:lang w:val="en-US" w:eastAsia="zh-CN"/>
        </w:rPr>
      </w:pPr>
    </w:p>
    <w:p>
      <w:pPr>
        <w:pStyle w:val="7"/>
        <w:spacing w:before="0"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1．参照《电子病历系统功能应用水平分级评价方法及标准（试行）》六级要求建设；</w:t>
      </w:r>
    </w:p>
    <w:p>
      <w:pPr>
        <w:pStyle w:val="7"/>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2</w:t>
      </w:r>
      <w:r>
        <w:rPr>
          <w:rFonts w:hint="eastAsia" w:ascii="仿宋" w:hAnsi="仿宋" w:cs="仿宋"/>
          <w:color w:val="000000"/>
          <w:sz w:val="28"/>
          <w:szCs w:val="28"/>
          <w:lang w:val="en-US"/>
        </w:rPr>
        <w:t>．参照《国家医疗健康信息区域卫生</w:t>
      </w:r>
      <w:r>
        <w:rPr>
          <w:rFonts w:ascii="仿宋" w:hAnsi="仿宋" w:cs="仿宋"/>
          <w:color w:val="000000"/>
          <w:sz w:val="28"/>
          <w:szCs w:val="28"/>
          <w:lang w:val="en-US"/>
        </w:rPr>
        <w:t>(</w:t>
      </w:r>
      <w:r>
        <w:rPr>
          <w:rFonts w:hint="eastAsia" w:ascii="仿宋" w:hAnsi="仿宋" w:cs="仿宋"/>
          <w:color w:val="000000"/>
          <w:sz w:val="28"/>
          <w:szCs w:val="28"/>
          <w:lang w:val="en-US"/>
        </w:rPr>
        <w:t>医院</w:t>
      </w:r>
      <w:r>
        <w:rPr>
          <w:rFonts w:ascii="仿宋" w:hAnsi="仿宋" w:cs="仿宋"/>
          <w:color w:val="000000"/>
          <w:sz w:val="28"/>
          <w:szCs w:val="28"/>
          <w:lang w:val="en-US"/>
        </w:rPr>
        <w:t>)</w:t>
      </w:r>
      <w:r>
        <w:rPr>
          <w:rFonts w:hint="eastAsia" w:ascii="仿宋" w:hAnsi="仿宋" w:cs="仿宋"/>
          <w:color w:val="000000"/>
          <w:sz w:val="28"/>
          <w:szCs w:val="28"/>
          <w:lang w:val="en-US"/>
        </w:rPr>
        <w:t>信息互联互通标准化成熟度测评方案（</w:t>
      </w:r>
      <w:r>
        <w:rPr>
          <w:rFonts w:ascii="仿宋" w:hAnsi="仿宋" w:cs="仿宋"/>
          <w:color w:val="000000"/>
          <w:sz w:val="28"/>
          <w:szCs w:val="28"/>
          <w:lang w:val="en-US"/>
        </w:rPr>
        <w:t>2020</w:t>
      </w:r>
      <w:r>
        <w:rPr>
          <w:rFonts w:hint="eastAsia" w:ascii="仿宋" w:hAnsi="仿宋" w:cs="仿宋"/>
          <w:color w:val="000000"/>
          <w:sz w:val="28"/>
          <w:szCs w:val="28"/>
          <w:lang w:val="en-US"/>
        </w:rPr>
        <w:t>年版）》五级乙等求建设；</w:t>
      </w:r>
    </w:p>
    <w:p>
      <w:pPr>
        <w:pStyle w:val="7"/>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3</w:t>
      </w:r>
      <w:r>
        <w:rPr>
          <w:rFonts w:hint="eastAsia" w:ascii="仿宋" w:hAnsi="仿宋" w:cs="仿宋"/>
          <w:color w:val="000000"/>
          <w:sz w:val="28"/>
          <w:szCs w:val="28"/>
          <w:lang w:val="en-US"/>
        </w:rPr>
        <w:t>．参照《医院智慧服务分级评估标准体系（试行）》四级要求建设；</w:t>
      </w:r>
    </w:p>
    <w:p>
      <w:pPr>
        <w:pStyle w:val="7"/>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4</w:t>
      </w:r>
      <w:r>
        <w:rPr>
          <w:rFonts w:hint="eastAsia" w:ascii="仿宋" w:hAnsi="仿宋" w:cs="仿宋"/>
          <w:color w:val="000000"/>
          <w:sz w:val="28"/>
          <w:szCs w:val="28"/>
          <w:lang w:val="en-US"/>
        </w:rPr>
        <w:t>．需参照《医院智慧管理分级评估标准体系（试行）》三级要求建设；</w:t>
      </w:r>
    </w:p>
    <w:p>
      <w:pPr>
        <w:pStyle w:val="7"/>
        <w:spacing w:before="0" w:line="360" w:lineRule="exact"/>
        <w:ind w:firstLine="560" w:firstLineChars="200"/>
        <w:rPr>
          <w:rFonts w:hint="eastAsia" w:ascii="仿宋" w:hAnsi="仿宋" w:cs="仿宋"/>
          <w:color w:val="000000"/>
          <w:sz w:val="28"/>
          <w:szCs w:val="28"/>
          <w:lang w:val="en-US"/>
        </w:rPr>
      </w:pPr>
      <w:r>
        <w:rPr>
          <w:rFonts w:ascii="仿宋" w:hAnsi="仿宋" w:cs="仿宋"/>
          <w:color w:val="000000"/>
          <w:sz w:val="28"/>
          <w:szCs w:val="28"/>
          <w:lang w:val="en-US"/>
        </w:rPr>
        <w:t>5</w:t>
      </w:r>
      <w:r>
        <w:rPr>
          <w:rFonts w:hint="eastAsia" w:ascii="仿宋" w:hAnsi="仿宋" w:cs="仿宋"/>
          <w:color w:val="000000"/>
          <w:sz w:val="28"/>
          <w:szCs w:val="28"/>
          <w:lang w:val="en-US"/>
        </w:rPr>
        <w:t>．必须达到《信息安全技术信息系统安全等级保护基本要求》</w:t>
      </w:r>
      <w:r>
        <w:rPr>
          <w:rFonts w:ascii="仿宋" w:hAnsi="仿宋" w:cs="仿宋"/>
          <w:color w:val="000000"/>
          <w:sz w:val="28"/>
          <w:szCs w:val="28"/>
          <w:lang w:val="en-US"/>
        </w:rPr>
        <w:t>(GB/T22239-2019)</w:t>
      </w:r>
      <w:r>
        <w:rPr>
          <w:rFonts w:hint="eastAsia" w:ascii="仿宋" w:hAnsi="仿宋" w:cs="仿宋"/>
          <w:color w:val="000000"/>
          <w:sz w:val="28"/>
          <w:szCs w:val="28"/>
          <w:lang w:val="en-US"/>
        </w:rPr>
        <w:t>三级要求；</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6</w:t>
      </w:r>
      <w:r>
        <w:rPr>
          <w:rFonts w:hint="eastAsia" w:ascii="仿宋" w:hAnsi="仿宋" w:eastAsia="仿宋" w:cs="仿宋"/>
          <w:i w:val="0"/>
          <w:iCs w:val="0"/>
          <w:color w:val="000000"/>
          <w:sz w:val="28"/>
          <w:szCs w:val="28"/>
          <w:u w:val="none"/>
          <w:lang w:val="en-US" w:eastAsia="zh-CN"/>
        </w:rPr>
        <w:t>．</w:t>
      </w:r>
      <w:r>
        <w:rPr>
          <w:rFonts w:hint="eastAsia" w:ascii="仿宋" w:hAnsi="仿宋" w:cs="仿宋"/>
          <w:i w:val="0"/>
          <w:iCs w:val="0"/>
          <w:color w:val="000000"/>
          <w:sz w:val="28"/>
          <w:szCs w:val="28"/>
          <w:u w:val="none"/>
          <w:lang w:val="en-US" w:eastAsia="zh-CN"/>
        </w:rPr>
        <w:t>参照《四川省智慧医院评价标准》六星要求建设；</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lang w:val="en-US"/>
        </w:rPr>
      </w:pPr>
      <w:r>
        <w:rPr>
          <w:rFonts w:hint="eastAsia" w:ascii="仿宋" w:hAnsi="仿宋" w:cs="仿宋"/>
          <w:i w:val="0"/>
          <w:iCs w:val="0"/>
          <w:color w:val="000000"/>
          <w:sz w:val="28"/>
          <w:szCs w:val="28"/>
          <w:u w:val="none"/>
          <w:lang w:val="en-US" w:eastAsia="zh-CN"/>
        </w:rPr>
        <w:t>7</w:t>
      </w:r>
      <w:r>
        <w:rPr>
          <w:rFonts w:hint="eastAsia" w:ascii="仿宋" w:hAnsi="仿宋" w:eastAsia="仿宋" w:cs="仿宋"/>
          <w:i w:val="0"/>
          <w:iCs w:val="0"/>
          <w:color w:val="000000"/>
          <w:sz w:val="28"/>
          <w:szCs w:val="28"/>
          <w:u w:val="none"/>
          <w:lang w:val="en-US" w:eastAsia="zh-CN"/>
        </w:rPr>
        <w:t>．参照《四川省住院医师规范化培训基地对标检查表（试行）技能培训中心》、《住院医师规范化培训基地临床技能培训中心工作指南（2023年版）》、《四川省住院医师规范化培训基地对标检查表(试行)》等文件要求建设；</w:t>
      </w:r>
    </w:p>
    <w:p>
      <w:pPr>
        <w:pStyle w:val="7"/>
        <w:spacing w:before="0" w:line="360" w:lineRule="exact"/>
        <w:ind w:firstLine="560" w:firstLineChars="200"/>
        <w:rPr>
          <w:rFonts w:ascii="仿宋" w:hAnsi="仿宋" w:cs="仿宋"/>
          <w:color w:val="0000FF"/>
          <w:sz w:val="28"/>
          <w:szCs w:val="28"/>
          <w:lang w:val="en-US"/>
        </w:rPr>
      </w:pPr>
      <w:r>
        <w:rPr>
          <w:rFonts w:hint="eastAsia" w:ascii="仿宋" w:hAnsi="仿宋" w:cs="仿宋"/>
          <w:color w:val="000000"/>
          <w:sz w:val="28"/>
          <w:szCs w:val="28"/>
          <w:lang w:val="en-US" w:eastAsia="zh-CN"/>
        </w:rPr>
        <w:t>8</w:t>
      </w:r>
      <w:r>
        <w:rPr>
          <w:rFonts w:hint="eastAsia" w:ascii="仿宋" w:hAnsi="仿宋" w:cs="仿宋"/>
          <w:color w:val="000000"/>
          <w:sz w:val="28"/>
          <w:szCs w:val="28"/>
          <w:lang w:val="en-US"/>
        </w:rPr>
        <w:t>．要求提供定制化开发服务，满足医院个性化需求。</w:t>
      </w:r>
    </w:p>
    <w:p>
      <w:pPr>
        <w:pStyle w:val="2"/>
        <w:widowControl w:val="0"/>
        <w:numPr>
          <w:ilvl w:val="0"/>
          <w:numId w:val="0"/>
        </w:numPr>
        <w:autoSpaceDE w:val="0"/>
        <w:autoSpaceDN w:val="0"/>
        <w:adjustRightInd w:val="0"/>
        <w:ind w:firstLine="420" w:firstLineChars="0"/>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w:t>
      </w:r>
      <w:r>
        <w:rPr>
          <w:rFonts w:ascii="仿宋" w:hAnsi="仿宋" w:eastAsia="仿宋" w:cs="仿宋"/>
          <w:i w:val="0"/>
          <w:iCs w:val="0"/>
          <w:caps w:val="0"/>
          <w:color w:val="000000"/>
          <w:spacing w:val="0"/>
          <w:sz w:val="28"/>
          <w:szCs w:val="28"/>
          <w:shd w:val="clear" w:fill="FFFFFF"/>
        </w:rPr>
        <w:t>截止时间为自发布公告起第</w:t>
      </w:r>
      <w:r>
        <w:rPr>
          <w:rFonts w:hint="eastAsia" w:ascii="仿宋" w:hAnsi="仿宋" w:eastAsia="仿宋" w:cs="仿宋"/>
          <w:i w:val="0"/>
          <w:iCs w:val="0"/>
          <w:caps w:val="0"/>
          <w:color w:val="000000"/>
          <w:spacing w:val="0"/>
          <w:sz w:val="28"/>
          <w:szCs w:val="28"/>
          <w:shd w:val="clear" w:fill="FFFFFF"/>
        </w:rPr>
        <w:t>5个工作日（包含发布当天），公告截止日期后递交的报名资料无效</w:t>
      </w:r>
      <w:r>
        <w:rPr>
          <w:rFonts w:hint="eastAsia" w:ascii="仿宋" w:hAnsi="仿宋" w:eastAsia="仿宋" w:cs="仿宋"/>
          <w:i w:val="0"/>
          <w:iCs w:val="0"/>
          <w:color w:val="000000"/>
          <w:sz w:val="28"/>
          <w:szCs w:val="28"/>
          <w:u w:val="none"/>
          <w:lang w:val="en-US"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  m项目名称+公司名称+联系人+联系电话）”报名资料目录见附件。</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w:t>
      </w:r>
      <w:r>
        <w:rPr>
          <w:rFonts w:hint="eastAsia" w:ascii="仿宋" w:hAnsi="仿宋" w:cs="仿宋"/>
          <w:i w:val="0"/>
          <w:iCs w:val="0"/>
          <w:color w:val="000000"/>
          <w:sz w:val="28"/>
          <w:szCs w:val="28"/>
          <w:u w:val="none"/>
          <w:lang w:val="en-US" w:eastAsia="zh-CN"/>
        </w:rPr>
        <w:t>邓</w:t>
      </w:r>
      <w:r>
        <w:rPr>
          <w:rFonts w:hint="eastAsia" w:ascii="仿宋" w:hAnsi="仿宋" w:eastAsia="仿宋" w:cs="仿宋"/>
          <w:i w:val="0"/>
          <w:iCs w:val="0"/>
          <w:color w:val="000000"/>
          <w:sz w:val="28"/>
          <w:szCs w:val="28"/>
          <w:u w:val="none"/>
          <w:lang w:val="en-US" w:eastAsia="zh-CN"/>
        </w:rPr>
        <w:t>老师</w:t>
      </w:r>
      <w:r>
        <w:rPr>
          <w:rFonts w:hint="eastAsia" w:ascii="仿宋" w:hAnsi="仿宋" w:cs="仿宋"/>
          <w:i w:val="0"/>
          <w:iCs w:val="0"/>
          <w:color w:val="000000"/>
          <w:sz w:val="28"/>
          <w:szCs w:val="28"/>
          <w:u w:val="none"/>
          <w:lang w:val="en-US" w:eastAsia="zh-CN"/>
        </w:rPr>
        <w:t>，</w:t>
      </w:r>
      <w:bookmarkStart w:id="46" w:name="_GoBack"/>
      <w:bookmarkEnd w:id="46"/>
      <w:r>
        <w:rPr>
          <w:rFonts w:hint="eastAsia" w:ascii="仿宋" w:hAnsi="仿宋" w:cs="仿宋"/>
          <w:i w:val="0"/>
          <w:iCs w:val="0"/>
          <w:color w:val="000000"/>
          <w:sz w:val="28"/>
          <w:szCs w:val="28"/>
          <w:u w:val="none"/>
          <w:lang w:val="en-US" w:eastAsia="zh-CN"/>
        </w:rPr>
        <w:t xml:space="preserve">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咨询</w:t>
      </w:r>
      <w:r>
        <w:rPr>
          <w:rFonts w:hint="eastAsia" w:ascii="仿宋" w:hAnsi="仿宋" w:eastAsia="仿宋" w:cs="仿宋"/>
          <w:i w:val="0"/>
          <w:iCs w:val="0"/>
          <w:color w:val="000000"/>
          <w:sz w:val="28"/>
          <w:szCs w:val="28"/>
          <w:u w:val="none"/>
          <w:lang w:val="en-US" w:eastAsia="zh-CN"/>
        </w:rPr>
        <w:t>：028-26219526</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ascii="仿宋" w:hAnsi="仿宋" w:eastAsia="仿宋" w:cs="仿宋"/>
          <w:i w:val="0"/>
          <w:iCs w:val="0"/>
          <w:caps w:val="0"/>
          <w:color w:val="555555"/>
          <w:spacing w:val="0"/>
          <w:sz w:val="30"/>
          <w:szCs w:val="30"/>
          <w:shd w:val="clear" w:fill="FFFFFF"/>
        </w:rPr>
        <w:t>zyszxyyxxb@163.com</w:t>
      </w:r>
      <w:r>
        <w:rPr>
          <w:rFonts w:hint="eastAsia" w:ascii="仿宋" w:hAnsi="仿宋" w:eastAsia="仿宋" w:cs="仿宋"/>
          <w:b w:val="0"/>
          <w:bCs w:val="0"/>
          <w:color w:val="auto"/>
          <w:sz w:val="30"/>
          <w:szCs w:val="30"/>
          <w:lang w:val="en-US" w:eastAsia="zh-CN"/>
        </w:rPr>
        <w:t>。邮件名称：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7"/>
        <w:rPr>
          <w:rFonts w:hint="default"/>
          <w:lang w:val="en-US" w:eastAsia="zh-CN"/>
        </w:rPr>
      </w:pPr>
    </w:p>
    <w:p>
      <w:pPr>
        <w:pStyle w:val="7"/>
        <w:rPr>
          <w:rFonts w:hint="eastAsia"/>
          <w:lang w:eastAsia="zh-CN"/>
        </w:rPr>
      </w:pPr>
    </w:p>
    <w:p>
      <w:pPr>
        <w:pStyle w:val="7"/>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2"/>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7</w:t>
          </w:r>
          <w:r>
            <w:fldChar w:fldCharType="end"/>
          </w:r>
          <w:r>
            <w:fldChar w:fldCharType="end"/>
          </w:r>
        </w:p>
        <w:p>
          <w:pPr>
            <w:pStyle w:val="12"/>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10</w:t>
          </w:r>
          <w:r>
            <w:fldChar w:fldCharType="end"/>
          </w:r>
          <w:r>
            <w:fldChar w:fldCharType="end"/>
          </w:r>
        </w:p>
        <w:p>
          <w:pPr>
            <w:pStyle w:val="12"/>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10</w:t>
          </w:r>
          <w:r>
            <w:fldChar w:fldCharType="end"/>
          </w:r>
          <w:r>
            <w:fldChar w:fldCharType="end"/>
          </w:r>
        </w:p>
        <w:p>
          <w:pPr>
            <w:pStyle w:val="12"/>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10</w:t>
          </w:r>
          <w:r>
            <w:fldChar w:fldCharType="end"/>
          </w:r>
          <w:r>
            <w:fldChar w:fldCharType="end"/>
          </w:r>
        </w:p>
        <w:p>
          <w:pPr>
            <w:pStyle w:val="12"/>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11</w:t>
          </w:r>
          <w:r>
            <w:fldChar w:fldCharType="end"/>
          </w:r>
          <w:r>
            <w:fldChar w:fldCharType="end"/>
          </w:r>
        </w:p>
        <w:p>
          <w:pPr>
            <w:pStyle w:val="13"/>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11</w:t>
          </w:r>
          <w:r>
            <w:fldChar w:fldCharType="end"/>
          </w:r>
          <w:r>
            <w:fldChar w:fldCharType="end"/>
          </w:r>
        </w:p>
        <w:p>
          <w:pPr>
            <w:pStyle w:val="13"/>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11</w:t>
          </w:r>
          <w:r>
            <w:fldChar w:fldCharType="end"/>
          </w:r>
          <w:r>
            <w:fldChar w:fldCharType="end"/>
          </w:r>
        </w:p>
        <w:p>
          <w:pPr>
            <w:pStyle w:val="13"/>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11</w:t>
          </w:r>
          <w:r>
            <w:fldChar w:fldCharType="end"/>
          </w:r>
          <w:r>
            <w:fldChar w:fldCharType="end"/>
          </w:r>
        </w:p>
        <w:p>
          <w:pPr>
            <w:pStyle w:val="13"/>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11</w:t>
          </w:r>
          <w:r>
            <w:fldChar w:fldCharType="end"/>
          </w:r>
          <w:r>
            <w:fldChar w:fldCharType="end"/>
          </w:r>
        </w:p>
        <w:p>
          <w:r>
            <w:fldChar w:fldCharType="end"/>
          </w:r>
        </w:p>
      </w:sdtContent>
    </w:sdt>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7871"/>
      <w:bookmarkStart w:id="1" w:name="_Toc247527848"/>
      <w:bookmarkStart w:id="2" w:name="_Toc7415"/>
      <w:bookmarkStart w:id="3" w:name="_Toc152045808"/>
      <w:bookmarkStart w:id="4" w:name="_Toc152042597"/>
      <w:bookmarkStart w:id="5" w:name="_Toc10065"/>
      <w:bookmarkStart w:id="6" w:name="_Toc427002393"/>
      <w:bookmarkStart w:id="7" w:name="_Toc247514300"/>
      <w:bookmarkStart w:id="8" w:name="_Toc144974876"/>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5"/>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16693"/>
            <w:bookmarkStart w:id="11" w:name="_Toc3175"/>
            <w:bookmarkStart w:id="12" w:name="_Toc32193304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8522"/>
      <w:bookmarkStart w:id="19" w:name="_Toc5131"/>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6232"/>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11995"/>
      <w:bookmarkStart w:id="24" w:name="_Toc3224"/>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8"/>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8"/>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9"/>
        <w:spacing w:line="360" w:lineRule="auto"/>
        <w:ind w:firstLine="420" w:firstLineChars="200"/>
        <w:rPr>
          <w:rFonts w:hAnsi="宋体" w:cs="Times New Roman"/>
          <w:kern w:val="0"/>
        </w:rPr>
      </w:pPr>
    </w:p>
    <w:p>
      <w:pPr>
        <w:pStyle w:val="9"/>
        <w:spacing w:line="360" w:lineRule="auto"/>
        <w:ind w:firstLine="420" w:firstLineChars="200"/>
        <w:rPr>
          <w:rFonts w:hint="eastAsia" w:hAnsi="宋体"/>
          <w:kern w:val="0"/>
        </w:rPr>
      </w:pPr>
    </w:p>
    <w:p>
      <w:pPr>
        <w:pStyle w:val="9"/>
        <w:spacing w:line="360" w:lineRule="auto"/>
        <w:ind w:firstLine="420" w:firstLineChars="200"/>
        <w:rPr>
          <w:rFonts w:hint="eastAsia" w:hAnsi="宋体"/>
          <w:kern w:val="0"/>
        </w:rPr>
      </w:pPr>
    </w:p>
    <w:p>
      <w:pPr>
        <w:pStyle w:val="9"/>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7"/>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7"/>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5"/>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837"/>
        <w:gridCol w:w="1058"/>
        <w:gridCol w:w="1117"/>
        <w:gridCol w:w="987"/>
        <w:gridCol w:w="860"/>
        <w:gridCol w:w="730"/>
        <w:gridCol w:w="941"/>
        <w:gridCol w:w="1173"/>
        <w:gridCol w:w="1336"/>
        <w:gridCol w:w="1620"/>
        <w:gridCol w:w="1440"/>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000" w:type="pct"/>
            <w:gridSpan w:val="13"/>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9" w:hRule="atLeast"/>
          <w:jc w:val="center"/>
        </w:trPr>
        <w:tc>
          <w:tcPr>
            <w:tcW w:w="1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产品名称</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品牌名称</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是否入围四川省政府采购框架协议（硬件）</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是否涉及采购进口产品（硬件）</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2" w:hRule="atLeast"/>
          <w:jc w:val="center"/>
        </w:trPr>
        <w:tc>
          <w:tcPr>
            <w:tcW w:w="1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r>
              <w:rPr>
                <w:rFonts w:hint="eastAsia" w:ascii="宋体" w:hAnsi="宋体" w:eastAsia="宋体" w:cs="宋体"/>
                <w:i w:val="0"/>
                <w:iCs w:val="0"/>
                <w:color w:val="auto"/>
                <w:sz w:val="22"/>
                <w:szCs w:val="22"/>
                <w:u w:val="none"/>
              </w:rPr>
              <w:t>OSCE考核系统</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2" w:hRule="atLeast"/>
          <w:jc w:val="center"/>
        </w:trPr>
        <w:tc>
          <w:tcPr>
            <w:tcW w:w="1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信息化硬件建设</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lang w:val="en-US" w:eastAsia="zh-CN"/>
              </w:rPr>
            </w:pPr>
          </w:p>
          <w:p>
            <w:pPr>
              <w:pStyle w:val="2"/>
              <w:rPr>
                <w:rFonts w:hint="default"/>
                <w:lang w:val="en-US" w:eastAsia="zh-CN"/>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default"/>
                <w:lang w:val="en-US" w:eastAsia="zh-CN"/>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5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20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5"/>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6"/>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5"/>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6592"/>
      <w:bookmarkStart w:id="34" w:name="_Toc138151651"/>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0000FF"/>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（包含以下内容，其他内容自拟）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138151654"/>
      <w:bookmarkStart w:id="41" w:name="_Toc21591"/>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8352"/>
      <w:bookmarkStart w:id="43" w:name="_Toc138151655"/>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138151656"/>
      <w:bookmarkStart w:id="45" w:name="_Toc8120"/>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EA7A19-1ADE-4EE4-A50D-0F40EEA1DA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AF4DCA4-8C0E-46C7-98DE-1F6475AEF1E7}"/>
  </w:font>
  <w:font w:name="仿宋">
    <w:panose1 w:val="02010609060101010101"/>
    <w:charset w:val="86"/>
    <w:family w:val="auto"/>
    <w:pitch w:val="default"/>
    <w:sig w:usb0="800002BF" w:usb1="38CF7CFA" w:usb2="00000016" w:usb3="00000000" w:csb0="00040001" w:csb1="00000000"/>
    <w:embedRegular r:id="rId3" w:fontKey="{6D0C19DA-A167-40C7-B2F5-8D80B26DF7ED}"/>
  </w:font>
  <w:font w:name="方正小标宋简体">
    <w:panose1 w:val="03000509000000000000"/>
    <w:charset w:val="86"/>
    <w:family w:val="auto"/>
    <w:pitch w:val="default"/>
    <w:sig w:usb0="00000001" w:usb1="080E0000" w:usb2="00000000" w:usb3="00000000" w:csb0="00040000" w:csb1="00000000"/>
    <w:embedRegular r:id="rId4" w:fontKey="{BB8476D5-6ED3-44DF-A930-B50AA5D6B863}"/>
  </w:font>
  <w:font w:name="方正黑体简体">
    <w:panose1 w:val="03000509000000000000"/>
    <w:charset w:val="86"/>
    <w:family w:val="auto"/>
    <w:pitch w:val="default"/>
    <w:sig w:usb0="00000001" w:usb1="080E0000" w:usb2="00000000" w:usb3="00000000" w:csb0="00040000" w:csb1="00000000"/>
    <w:embedRegular r:id="rId5" w:fontKey="{532BED3F-35B1-46BB-B18E-92FEA6C8B9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7C5E9001"/>
    <w:multiLevelType w:val="singleLevel"/>
    <w:tmpl w:val="7C5E900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OTdjYmY1Mjg1MTgyZTY5ZDEyNTk3MzEyNmQwYTUifQ=="/>
  </w:docVars>
  <w:rsids>
    <w:rsidRoot w:val="00000000"/>
    <w:rsid w:val="00FE4037"/>
    <w:rsid w:val="0224038E"/>
    <w:rsid w:val="02CE7139"/>
    <w:rsid w:val="030430D0"/>
    <w:rsid w:val="037F580B"/>
    <w:rsid w:val="03D3104E"/>
    <w:rsid w:val="04593878"/>
    <w:rsid w:val="0564791A"/>
    <w:rsid w:val="0B915D31"/>
    <w:rsid w:val="0C811C7B"/>
    <w:rsid w:val="0CDC4161"/>
    <w:rsid w:val="0D5422FE"/>
    <w:rsid w:val="0DD4413B"/>
    <w:rsid w:val="0DDB42A4"/>
    <w:rsid w:val="0E6E4D2B"/>
    <w:rsid w:val="0EA93CA3"/>
    <w:rsid w:val="0F537E5E"/>
    <w:rsid w:val="121A3D4C"/>
    <w:rsid w:val="12E55D8C"/>
    <w:rsid w:val="13712447"/>
    <w:rsid w:val="15175048"/>
    <w:rsid w:val="1598749D"/>
    <w:rsid w:val="16207B77"/>
    <w:rsid w:val="18D92EBD"/>
    <w:rsid w:val="18E35B95"/>
    <w:rsid w:val="18E667CA"/>
    <w:rsid w:val="1A4F72D2"/>
    <w:rsid w:val="1AAF2DD5"/>
    <w:rsid w:val="1AE31E7C"/>
    <w:rsid w:val="1D6B2319"/>
    <w:rsid w:val="1ED65F1E"/>
    <w:rsid w:val="1FC870AB"/>
    <w:rsid w:val="20E172DD"/>
    <w:rsid w:val="20E3342D"/>
    <w:rsid w:val="22A273FF"/>
    <w:rsid w:val="23595A90"/>
    <w:rsid w:val="25C63BAB"/>
    <w:rsid w:val="25C67C05"/>
    <w:rsid w:val="283860D8"/>
    <w:rsid w:val="29FF496C"/>
    <w:rsid w:val="2B8925CC"/>
    <w:rsid w:val="2C6F6170"/>
    <w:rsid w:val="2D755A60"/>
    <w:rsid w:val="2E8E10D4"/>
    <w:rsid w:val="2F0B32F8"/>
    <w:rsid w:val="305F1B4D"/>
    <w:rsid w:val="31003A4B"/>
    <w:rsid w:val="31177DAD"/>
    <w:rsid w:val="312861A0"/>
    <w:rsid w:val="34B66051"/>
    <w:rsid w:val="38761053"/>
    <w:rsid w:val="38A804E3"/>
    <w:rsid w:val="39F8091D"/>
    <w:rsid w:val="3A985554"/>
    <w:rsid w:val="3AAB598F"/>
    <w:rsid w:val="3B82647B"/>
    <w:rsid w:val="3EBE4976"/>
    <w:rsid w:val="3EF73899"/>
    <w:rsid w:val="3FA30BAE"/>
    <w:rsid w:val="3FBB0422"/>
    <w:rsid w:val="3FF23327"/>
    <w:rsid w:val="40FC538A"/>
    <w:rsid w:val="41541661"/>
    <w:rsid w:val="417A0CB4"/>
    <w:rsid w:val="428970E4"/>
    <w:rsid w:val="43494595"/>
    <w:rsid w:val="43624D15"/>
    <w:rsid w:val="44DD4D95"/>
    <w:rsid w:val="49550899"/>
    <w:rsid w:val="4DA259E9"/>
    <w:rsid w:val="4F5F64BA"/>
    <w:rsid w:val="4FB545D4"/>
    <w:rsid w:val="502E58AD"/>
    <w:rsid w:val="5229783A"/>
    <w:rsid w:val="536B2A7D"/>
    <w:rsid w:val="53E51F5E"/>
    <w:rsid w:val="541505F1"/>
    <w:rsid w:val="54F64116"/>
    <w:rsid w:val="55AE0EF4"/>
    <w:rsid w:val="56BF65F2"/>
    <w:rsid w:val="577B4C0F"/>
    <w:rsid w:val="59410223"/>
    <w:rsid w:val="5BB10EFE"/>
    <w:rsid w:val="5C9F0F4B"/>
    <w:rsid w:val="5DB70F91"/>
    <w:rsid w:val="5DEA79AF"/>
    <w:rsid w:val="5E2F3B42"/>
    <w:rsid w:val="5FD85C2C"/>
    <w:rsid w:val="6215043D"/>
    <w:rsid w:val="62561308"/>
    <w:rsid w:val="62927E29"/>
    <w:rsid w:val="635A00BC"/>
    <w:rsid w:val="63D55B2E"/>
    <w:rsid w:val="640D6CAC"/>
    <w:rsid w:val="67CB7B5D"/>
    <w:rsid w:val="67EA2698"/>
    <w:rsid w:val="687304EE"/>
    <w:rsid w:val="6A987C6E"/>
    <w:rsid w:val="6D4B29EE"/>
    <w:rsid w:val="6D6D71FE"/>
    <w:rsid w:val="6EC06CA8"/>
    <w:rsid w:val="6EED01BE"/>
    <w:rsid w:val="709E1F5D"/>
    <w:rsid w:val="71B2000E"/>
    <w:rsid w:val="725577F4"/>
    <w:rsid w:val="74BE1DD0"/>
    <w:rsid w:val="75BD6E1E"/>
    <w:rsid w:val="75BE2C2C"/>
    <w:rsid w:val="76EB7264"/>
    <w:rsid w:val="777813A9"/>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8">
    <w:name w:val="Body Text Indent"/>
    <w:basedOn w:val="1"/>
    <w:qFormat/>
    <w:uiPriority w:val="99"/>
    <w:pPr>
      <w:spacing w:after="120"/>
      <w:ind w:left="420" w:leftChars="200"/>
    </w:pPr>
  </w:style>
  <w:style w:type="paragraph" w:styleId="9">
    <w:name w:val="Plain Text"/>
    <w:basedOn w:val="1"/>
    <w:qFormat/>
    <w:uiPriority w:val="0"/>
    <w:rPr>
      <w:rFonts w:ascii="宋体" w:hAnsi="Courier New" w:cs="宋体"/>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paragraph" w:styleId="13">
    <w:name w:val="toc 2"/>
    <w:basedOn w:val="1"/>
    <w:next w:val="1"/>
    <w:qFormat/>
    <w:uiPriority w:val="0"/>
    <w:pPr>
      <w:ind w:left="420" w:leftChars="200"/>
    </w:pPr>
  </w:style>
  <w:style w:type="paragraph" w:styleId="1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customStyle="1" w:styleId="19">
    <w:name w:val="font81"/>
    <w:basedOn w:val="17"/>
    <w:qFormat/>
    <w:uiPriority w:val="0"/>
    <w:rPr>
      <w:rFonts w:hint="eastAsia" w:ascii="仿宋" w:hAnsi="仿宋" w:eastAsia="仿宋" w:cs="仿宋"/>
      <w:color w:val="FF0000"/>
      <w:sz w:val="24"/>
      <w:szCs w:val="24"/>
      <w:u w:val="none"/>
    </w:rPr>
  </w:style>
  <w:style w:type="character" w:customStyle="1" w:styleId="20">
    <w:name w:val="font61"/>
    <w:basedOn w:val="17"/>
    <w:qFormat/>
    <w:uiPriority w:val="0"/>
    <w:rPr>
      <w:rFonts w:hint="eastAsia" w:ascii="仿宋" w:hAnsi="仿宋" w:eastAsia="仿宋" w:cs="仿宋"/>
      <w:color w:val="000000"/>
      <w:sz w:val="24"/>
      <w:szCs w:val="24"/>
      <w:u w:val="none"/>
    </w:rPr>
  </w:style>
  <w:style w:type="character" w:customStyle="1" w:styleId="21">
    <w:name w:val="font41"/>
    <w:basedOn w:val="17"/>
    <w:qFormat/>
    <w:uiPriority w:val="0"/>
    <w:rPr>
      <w:rFonts w:hint="eastAsia" w:ascii="仿宋" w:hAnsi="仿宋" w:eastAsia="仿宋" w:cs="仿宋"/>
      <w:color w:val="000000"/>
      <w:sz w:val="24"/>
      <w:szCs w:val="24"/>
      <w:u w:val="none"/>
    </w:rPr>
  </w:style>
  <w:style w:type="character" w:customStyle="1" w:styleId="22">
    <w:name w:val="font71"/>
    <w:basedOn w:val="17"/>
    <w:qFormat/>
    <w:uiPriority w:val="0"/>
    <w:rPr>
      <w:rFonts w:hint="eastAsia" w:ascii="仿宋" w:hAnsi="仿宋" w:eastAsia="仿宋" w:cs="仿宋"/>
      <w:color w:val="0070C0"/>
      <w:sz w:val="24"/>
      <w:szCs w:val="24"/>
      <w:u w:val="none"/>
    </w:rPr>
  </w:style>
  <w:style w:type="character" w:customStyle="1" w:styleId="23">
    <w:name w:val="font51"/>
    <w:basedOn w:val="17"/>
    <w:qFormat/>
    <w:uiPriority w:val="0"/>
    <w:rPr>
      <w:rFonts w:hint="eastAsia" w:ascii="宋体" w:hAnsi="宋体" w:eastAsia="宋体" w:cs="宋体"/>
      <w:color w:val="000000"/>
      <w:sz w:val="24"/>
      <w:szCs w:val="24"/>
      <w:u w:val="none"/>
    </w:rPr>
  </w:style>
  <w:style w:type="character" w:customStyle="1" w:styleId="24">
    <w:name w:val="font21"/>
    <w:basedOn w:val="17"/>
    <w:qFormat/>
    <w:uiPriority w:val="0"/>
    <w:rPr>
      <w:rFonts w:hint="eastAsia" w:ascii="宋体" w:hAnsi="宋体" w:eastAsia="宋体" w:cs="宋体"/>
      <w:color w:val="000000"/>
      <w:sz w:val="22"/>
      <w:szCs w:val="22"/>
      <w:u w:val="none"/>
    </w:rPr>
  </w:style>
  <w:style w:type="character" w:customStyle="1" w:styleId="25">
    <w:name w:val="font11"/>
    <w:basedOn w:val="17"/>
    <w:qFormat/>
    <w:uiPriority w:val="0"/>
    <w:rPr>
      <w:rFonts w:hint="eastAsia" w:ascii="宋体" w:hAnsi="宋体" w:eastAsia="宋体" w:cs="宋体"/>
      <w:b/>
      <w:bCs/>
      <w:color w:val="000000"/>
      <w:sz w:val="24"/>
      <w:szCs w:val="24"/>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7">
    <w:name w:val="font31"/>
    <w:basedOn w:val="17"/>
    <w:qFormat/>
    <w:uiPriority w:val="0"/>
    <w:rPr>
      <w:rFonts w:hint="eastAsia" w:ascii="宋体" w:hAnsi="宋体" w:eastAsia="宋体" w:cs="宋体"/>
      <w:color w:val="000000"/>
      <w:sz w:val="24"/>
      <w:szCs w:val="24"/>
      <w:u w:val="none"/>
    </w:rPr>
  </w:style>
  <w:style w:type="character" w:customStyle="1" w:styleId="28">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0</TotalTime>
  <ScaleCrop>false</ScaleCrop>
  <LinksUpToDate>false</LinksUpToDate>
  <CharactersWithSpaces>7463</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Jens</cp:lastModifiedBy>
  <cp:lastPrinted>2025-07-04T03:09:00Z</cp:lastPrinted>
  <dcterms:modified xsi:type="dcterms:W3CDTF">2025-07-04T05:13:02Z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2BE5B3BE4C4646EAA0CBC1FE6BCE9D2B_13</vt:lpwstr>
  </property>
</Properties>
</file>