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3F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资阳市中心医院</w:t>
      </w:r>
      <w:r>
        <w:rPr>
          <w:rFonts w:hint="eastAsia" w:ascii="宋体" w:hAnsi="宋体" w:eastAsia="宋体" w:cs="宋体"/>
          <w:b/>
          <w:bCs/>
          <w:i w:val="0"/>
          <w:iCs w:val="0"/>
          <w:color w:val="000000"/>
          <w:kern w:val="0"/>
          <w:sz w:val="36"/>
          <w:szCs w:val="36"/>
          <w:u w:val="none"/>
          <w:lang w:val="en-US" w:eastAsia="zh-CN" w:bidi="ar"/>
        </w:rPr>
        <w:br w:type="textWrapping"/>
      </w:r>
      <w:r>
        <w:rPr>
          <w:rFonts w:hint="eastAsia" w:ascii="宋体" w:hAnsi="宋体" w:eastAsia="宋体" w:cs="宋体"/>
          <w:b/>
          <w:bCs/>
          <w:i w:val="0"/>
          <w:iCs w:val="0"/>
          <w:color w:val="000000"/>
          <w:kern w:val="0"/>
          <w:sz w:val="36"/>
          <w:szCs w:val="36"/>
          <w:u w:val="none"/>
          <w:lang w:val="en-US" w:eastAsia="zh-CN" w:bidi="ar"/>
        </w:rPr>
        <w:t>120接警系统和救护车配套硬件及网络运维服务项目调研公告</w:t>
      </w:r>
    </w:p>
    <w:p w14:paraId="30E68F64">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2FA2A33B">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对医院120接警系统和救护车配套硬件及网络运维服务项目</w:t>
      </w:r>
      <w:r>
        <w:rPr>
          <w:rFonts w:hint="eastAsia" w:ascii="仿宋" w:hAnsi="仿宋" w:eastAsia="仿宋" w:cs="仿宋"/>
          <w:i w:val="0"/>
          <w:iCs w:val="0"/>
          <w:color w:val="000000"/>
          <w:sz w:val="28"/>
          <w:szCs w:val="28"/>
          <w:u w:val="none"/>
          <w:lang w:val="en-US" w:eastAsia="zh-CN"/>
        </w:rPr>
        <w:t>进行市场调研,现公开征集相关资料,欢迎各潜在供应商进行报名，现将有关事宜公告如下：</w:t>
      </w:r>
    </w:p>
    <w:p w14:paraId="12032E0A">
      <w:pPr>
        <w:keepNext w:val="0"/>
        <w:keepLines w:val="0"/>
        <w:pageBreakBefore w:val="0"/>
        <w:numPr>
          <w:ilvl w:val="0"/>
          <w:numId w:val="1"/>
        </w:numPr>
        <w:kinsoku/>
        <w:wordWrap/>
        <w:overflowPunct/>
        <w:topLinePunct w:val="0"/>
        <w:autoSpaceDE/>
        <w:autoSpaceDN/>
        <w:bidi w:val="0"/>
        <w:adjustRightInd/>
        <w:snapToGrid/>
        <w:spacing w:line="480" w:lineRule="exact"/>
        <w:ind w:leftChars="0" w:firstLine="560" w:firstLineChars="200"/>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服务内容</w:t>
      </w:r>
    </w:p>
    <w:tbl>
      <w:tblPr>
        <w:tblStyle w:val="9"/>
        <w:tblW w:w="90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563"/>
        <w:gridCol w:w="938"/>
        <w:gridCol w:w="584"/>
        <w:gridCol w:w="1379"/>
        <w:gridCol w:w="2410"/>
        <w:gridCol w:w="3164"/>
      </w:tblGrid>
      <w:tr w14:paraId="46B6A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00" w:hRule="atLeast"/>
          <w:tblHeader/>
          <w:jc w:val="center"/>
        </w:trPr>
        <w:tc>
          <w:tcPr>
            <w:tcW w:w="563" w:type="dxa"/>
            <w:tcBorders>
              <w:top w:val="single" w:color="auto" w:sz="8" w:space="0"/>
            </w:tcBorders>
            <w:shd w:val="clear" w:color="auto" w:fill="FFFFFF"/>
            <w:noWrap w:val="0"/>
            <w:vAlign w:val="center"/>
          </w:tcPr>
          <w:p w14:paraId="31B39D3D">
            <w:pPr>
              <w:pStyle w:val="13"/>
              <w:keepNext w:val="0"/>
              <w:keepLines w:val="0"/>
              <w:pageBreakBefore w:val="0"/>
              <w:kinsoku/>
              <w:wordWrap/>
              <w:overflowPunct/>
              <w:topLinePunct w:val="0"/>
              <w:autoSpaceDE/>
              <w:autoSpaceDN/>
              <w:bidi w:val="0"/>
              <w:adjustRightInd/>
              <w:snapToGrid/>
              <w:spacing w:line="360" w:lineRule="exact"/>
              <w:jc w:val="center"/>
              <w:rPr>
                <w:sz w:val="21"/>
                <w:szCs w:val="21"/>
              </w:rPr>
            </w:pPr>
            <w:r>
              <w:rPr>
                <w:rFonts w:hint="eastAsia" w:hAnsi="宋体"/>
                <w:bCs w:val="0"/>
                <w:sz w:val="21"/>
                <w:szCs w:val="21"/>
                <w:lang w:val="zh-TW" w:eastAsia="zh-TW"/>
              </w:rPr>
              <w:t>序号</w:t>
            </w:r>
          </w:p>
        </w:tc>
        <w:tc>
          <w:tcPr>
            <w:tcW w:w="938" w:type="dxa"/>
            <w:tcBorders>
              <w:top w:val="single" w:color="auto" w:sz="8" w:space="0"/>
            </w:tcBorders>
            <w:shd w:val="clear" w:color="auto" w:fill="FFFFFF"/>
            <w:noWrap w:val="0"/>
            <w:vAlign w:val="center"/>
          </w:tcPr>
          <w:p w14:paraId="654446E2">
            <w:pPr>
              <w:pStyle w:val="13"/>
              <w:keepNext w:val="0"/>
              <w:keepLines w:val="0"/>
              <w:pageBreakBefore w:val="0"/>
              <w:kinsoku/>
              <w:wordWrap/>
              <w:overflowPunct/>
              <w:topLinePunct w:val="0"/>
              <w:autoSpaceDE/>
              <w:autoSpaceDN/>
              <w:bidi w:val="0"/>
              <w:adjustRightInd/>
              <w:snapToGrid/>
              <w:spacing w:line="360" w:lineRule="exact"/>
              <w:jc w:val="center"/>
              <w:rPr>
                <w:rFonts w:hint="eastAsia" w:hAnsi="宋体"/>
                <w:bCs w:val="0"/>
                <w:sz w:val="21"/>
                <w:szCs w:val="21"/>
                <w:lang w:val="zh-TW" w:eastAsia="zh-TW"/>
              </w:rPr>
            </w:pPr>
            <w:r>
              <w:rPr>
                <w:rFonts w:hint="eastAsia" w:hAnsi="宋体"/>
                <w:bCs w:val="0"/>
                <w:sz w:val="21"/>
                <w:szCs w:val="21"/>
                <w:lang w:val="zh-TW" w:eastAsia="zh-TW"/>
              </w:rPr>
              <w:t>名</w:t>
            </w:r>
            <w:r>
              <w:rPr>
                <w:rFonts w:hAnsi="宋体"/>
                <w:bCs w:val="0"/>
                <w:sz w:val="21"/>
                <w:szCs w:val="21"/>
                <w:lang w:val="zh-TW" w:eastAsia="zh-CN"/>
              </w:rPr>
              <w:t xml:space="preserve">  </w:t>
            </w:r>
            <w:r>
              <w:rPr>
                <w:rFonts w:hint="eastAsia" w:hAnsi="宋体"/>
                <w:bCs w:val="0"/>
                <w:sz w:val="21"/>
                <w:szCs w:val="21"/>
                <w:lang w:val="en-US" w:eastAsia="zh-CN"/>
              </w:rPr>
              <w:t xml:space="preserve"> </w:t>
            </w:r>
            <w:r>
              <w:rPr>
                <w:rFonts w:hint="eastAsia" w:hAnsi="宋体"/>
                <w:bCs w:val="0"/>
                <w:sz w:val="21"/>
                <w:szCs w:val="21"/>
                <w:lang w:val="zh-TW" w:eastAsia="zh-TW"/>
              </w:rPr>
              <w:t>称</w:t>
            </w:r>
          </w:p>
        </w:tc>
        <w:tc>
          <w:tcPr>
            <w:tcW w:w="584" w:type="dxa"/>
            <w:tcBorders>
              <w:top w:val="single" w:color="auto" w:sz="8" w:space="0"/>
            </w:tcBorders>
            <w:shd w:val="clear" w:color="auto" w:fill="FFFFFF"/>
            <w:noWrap w:val="0"/>
            <w:vAlign w:val="center"/>
          </w:tcPr>
          <w:p w14:paraId="3DF01E03">
            <w:pPr>
              <w:pStyle w:val="13"/>
              <w:keepNext w:val="0"/>
              <w:keepLines w:val="0"/>
              <w:pageBreakBefore w:val="0"/>
              <w:kinsoku/>
              <w:wordWrap/>
              <w:overflowPunct/>
              <w:topLinePunct w:val="0"/>
              <w:autoSpaceDE/>
              <w:autoSpaceDN/>
              <w:bidi w:val="0"/>
              <w:adjustRightInd/>
              <w:snapToGrid/>
              <w:spacing w:line="360" w:lineRule="exact"/>
              <w:jc w:val="center"/>
              <w:rPr>
                <w:bCs w:val="0"/>
                <w:sz w:val="21"/>
                <w:szCs w:val="21"/>
                <w:lang w:val="zh-TW" w:eastAsia="zh-CN"/>
              </w:rPr>
            </w:pPr>
            <w:r>
              <w:rPr>
                <w:rFonts w:hint="eastAsia" w:hAnsi="宋体"/>
                <w:bCs w:val="0"/>
                <w:sz w:val="21"/>
                <w:szCs w:val="21"/>
                <w:lang w:val="zh-TW" w:eastAsia="zh-CN"/>
              </w:rPr>
              <w:t>数量</w:t>
            </w:r>
          </w:p>
        </w:tc>
        <w:tc>
          <w:tcPr>
            <w:tcW w:w="1379" w:type="dxa"/>
            <w:tcBorders>
              <w:top w:val="single" w:color="auto" w:sz="8" w:space="0"/>
            </w:tcBorders>
            <w:shd w:val="clear" w:color="auto" w:fill="FFFFFF"/>
            <w:noWrap w:val="0"/>
            <w:vAlign w:val="center"/>
          </w:tcPr>
          <w:p w14:paraId="40EB66BC">
            <w:pPr>
              <w:pStyle w:val="13"/>
              <w:keepNext w:val="0"/>
              <w:keepLines w:val="0"/>
              <w:pageBreakBefore w:val="0"/>
              <w:kinsoku/>
              <w:wordWrap/>
              <w:overflowPunct/>
              <w:topLinePunct w:val="0"/>
              <w:autoSpaceDE/>
              <w:autoSpaceDN/>
              <w:bidi w:val="0"/>
              <w:adjustRightInd/>
              <w:snapToGrid/>
              <w:spacing w:line="360" w:lineRule="exact"/>
              <w:jc w:val="center"/>
              <w:rPr>
                <w:rFonts w:hint="default" w:hAnsi="宋体"/>
                <w:bCs w:val="0"/>
                <w:sz w:val="21"/>
                <w:szCs w:val="21"/>
                <w:lang w:val="en-US" w:eastAsia="zh-CN"/>
              </w:rPr>
            </w:pPr>
            <w:r>
              <w:rPr>
                <w:rFonts w:hint="eastAsia" w:hAnsi="宋体"/>
                <w:bCs w:val="0"/>
                <w:sz w:val="21"/>
                <w:szCs w:val="21"/>
                <w:lang w:val="en-US" w:eastAsia="zh-CN"/>
              </w:rPr>
              <w:t>品牌型号</w:t>
            </w:r>
          </w:p>
        </w:tc>
        <w:tc>
          <w:tcPr>
            <w:tcW w:w="2410" w:type="dxa"/>
            <w:tcBorders>
              <w:top w:val="single" w:color="auto" w:sz="8" w:space="0"/>
            </w:tcBorders>
            <w:shd w:val="clear" w:color="auto" w:fill="FFFFFF"/>
            <w:noWrap w:val="0"/>
            <w:vAlign w:val="center"/>
          </w:tcPr>
          <w:p w14:paraId="50AD574B">
            <w:pPr>
              <w:pStyle w:val="13"/>
              <w:keepNext w:val="0"/>
              <w:keepLines w:val="0"/>
              <w:pageBreakBefore w:val="0"/>
              <w:kinsoku/>
              <w:wordWrap/>
              <w:overflowPunct/>
              <w:topLinePunct w:val="0"/>
              <w:autoSpaceDE/>
              <w:autoSpaceDN/>
              <w:bidi w:val="0"/>
              <w:adjustRightInd/>
              <w:snapToGrid/>
              <w:spacing w:line="360" w:lineRule="exact"/>
              <w:jc w:val="center"/>
              <w:rPr>
                <w:rFonts w:hint="default"/>
                <w:bCs w:val="0"/>
                <w:sz w:val="21"/>
                <w:szCs w:val="21"/>
                <w:lang w:val="en-US" w:eastAsia="zh-CN"/>
              </w:rPr>
            </w:pPr>
            <w:r>
              <w:rPr>
                <w:rFonts w:hint="eastAsia"/>
                <w:bCs w:val="0"/>
                <w:sz w:val="21"/>
                <w:szCs w:val="21"/>
                <w:lang w:val="en-US" w:eastAsia="zh-CN"/>
              </w:rPr>
              <w:t>项目描述</w:t>
            </w:r>
          </w:p>
        </w:tc>
        <w:tc>
          <w:tcPr>
            <w:tcW w:w="3164" w:type="dxa"/>
            <w:tcBorders>
              <w:top w:val="single" w:color="auto" w:sz="8" w:space="0"/>
            </w:tcBorders>
            <w:shd w:val="clear" w:color="auto" w:fill="FFFFFF"/>
            <w:noWrap w:val="0"/>
            <w:vAlign w:val="center"/>
          </w:tcPr>
          <w:p w14:paraId="63BC9C58">
            <w:pPr>
              <w:pStyle w:val="13"/>
              <w:keepNext w:val="0"/>
              <w:keepLines w:val="0"/>
              <w:pageBreakBefore w:val="0"/>
              <w:kinsoku/>
              <w:wordWrap/>
              <w:overflowPunct/>
              <w:topLinePunct w:val="0"/>
              <w:autoSpaceDE/>
              <w:autoSpaceDN/>
              <w:bidi w:val="0"/>
              <w:adjustRightInd/>
              <w:snapToGrid/>
              <w:spacing w:line="360" w:lineRule="exact"/>
              <w:jc w:val="center"/>
              <w:rPr>
                <w:rFonts w:hint="default"/>
                <w:bCs w:val="0"/>
                <w:sz w:val="21"/>
                <w:szCs w:val="21"/>
                <w:lang w:val="en-US" w:eastAsia="zh-CN"/>
              </w:rPr>
            </w:pPr>
            <w:r>
              <w:rPr>
                <w:rFonts w:hint="eastAsia"/>
                <w:bCs w:val="0"/>
                <w:sz w:val="21"/>
                <w:szCs w:val="21"/>
                <w:lang w:val="en-US" w:eastAsia="zh-CN"/>
              </w:rPr>
              <w:t>服务要求</w:t>
            </w:r>
          </w:p>
        </w:tc>
      </w:tr>
      <w:tr w14:paraId="569D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890" w:hRule="atLeast"/>
          <w:jc w:val="center"/>
        </w:trPr>
        <w:tc>
          <w:tcPr>
            <w:tcW w:w="563" w:type="dxa"/>
            <w:shd w:val="clear" w:color="auto" w:fill="FFFFFF"/>
            <w:noWrap w:val="0"/>
            <w:vAlign w:val="center"/>
          </w:tcPr>
          <w:p w14:paraId="78668BCB">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sz w:val="21"/>
                <w:szCs w:val="21"/>
              </w:rPr>
            </w:pPr>
            <w:r>
              <w:rPr>
                <w:rFonts w:hint="eastAsia" w:ascii="宋体" w:hAnsi="宋体" w:eastAsia="宋体" w:cs="宋体"/>
                <w:b w:val="0"/>
                <w:sz w:val="21"/>
                <w:szCs w:val="21"/>
                <w:lang w:val="zh-TW" w:eastAsia="zh-TW"/>
              </w:rPr>
              <w:t>1</w:t>
            </w:r>
          </w:p>
        </w:tc>
        <w:tc>
          <w:tcPr>
            <w:tcW w:w="938" w:type="dxa"/>
            <w:shd w:val="clear" w:color="auto" w:fill="FFFFFF"/>
            <w:noWrap w:val="0"/>
            <w:vAlign w:val="center"/>
          </w:tcPr>
          <w:p w14:paraId="3C252198">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sz w:val="21"/>
                <w:szCs w:val="21"/>
                <w:lang w:val="zh-TW" w:eastAsia="zh-TW"/>
              </w:rPr>
            </w:pPr>
            <w:r>
              <w:rPr>
                <w:rFonts w:hint="eastAsia" w:ascii="宋体" w:hAnsi="宋体" w:eastAsia="宋体" w:cs="宋体"/>
                <w:b w:val="0"/>
                <w:sz w:val="21"/>
                <w:szCs w:val="21"/>
                <w:lang w:eastAsia="zh-CN"/>
              </w:rPr>
              <w:t>采集终端</w:t>
            </w:r>
          </w:p>
        </w:tc>
        <w:tc>
          <w:tcPr>
            <w:tcW w:w="584" w:type="dxa"/>
            <w:shd w:val="clear" w:color="auto" w:fill="FFFFFF"/>
            <w:noWrap w:val="0"/>
            <w:vAlign w:val="center"/>
          </w:tcPr>
          <w:p w14:paraId="7EC664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379" w:type="dxa"/>
            <w:shd w:val="clear" w:color="auto" w:fill="FFFFFF"/>
            <w:noWrap w:val="0"/>
            <w:vAlign w:val="center"/>
          </w:tcPr>
          <w:p w14:paraId="4CA437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b w:val="0"/>
                <w:color w:val="auto"/>
                <w:sz w:val="21"/>
                <w:szCs w:val="21"/>
                <w:lang w:eastAsia="zh-CN"/>
              </w:rPr>
              <w:t>道格S88plus</w:t>
            </w:r>
          </w:p>
        </w:tc>
        <w:tc>
          <w:tcPr>
            <w:tcW w:w="2410" w:type="dxa"/>
            <w:shd w:val="clear" w:color="auto" w:fill="FFFFFF"/>
            <w:noWrap w:val="0"/>
            <w:vAlign w:val="center"/>
          </w:tcPr>
          <w:p w14:paraId="4135A4B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eastAsia="zh-CN"/>
              </w:rPr>
            </w:pPr>
            <w:r>
              <w:rPr>
                <w:rFonts w:hint="eastAsia" w:ascii="宋体" w:hAnsi="宋体" w:eastAsia="宋体" w:cs="宋体"/>
                <w:b w:val="0"/>
                <w:bCs w:val="0"/>
                <w:sz w:val="21"/>
                <w:szCs w:val="21"/>
                <w:lang w:val="zh-TW" w:eastAsia="zh-TW"/>
              </w:rPr>
              <w:t>采</w:t>
            </w:r>
            <w:r>
              <w:rPr>
                <w:rFonts w:hint="eastAsia" w:ascii="宋体" w:hAnsi="宋体" w:eastAsia="宋体" w:cs="宋体"/>
                <w:b w:val="0"/>
                <w:bCs w:val="0"/>
                <w:sz w:val="21"/>
                <w:szCs w:val="21"/>
                <w:lang w:val="zh-TW" w:eastAsia="zh-CN"/>
              </w:rPr>
              <w:t>集终端用于安装院前急救信息采集软件（</w:t>
            </w:r>
            <w:r>
              <w:rPr>
                <w:rFonts w:hint="eastAsia" w:ascii="宋体" w:hAnsi="宋体" w:eastAsia="宋体" w:cs="宋体"/>
                <w:b w:val="0"/>
                <w:bCs w:val="0"/>
                <w:sz w:val="21"/>
                <w:szCs w:val="21"/>
                <w:lang w:eastAsia="zh-CN"/>
              </w:rPr>
              <w:t>APP</w:t>
            </w:r>
            <w:r>
              <w:rPr>
                <w:rFonts w:hint="eastAsia" w:ascii="宋体" w:hAnsi="宋体" w:eastAsia="宋体" w:cs="宋体"/>
                <w:b w:val="0"/>
                <w:bCs w:val="0"/>
                <w:sz w:val="21"/>
                <w:szCs w:val="21"/>
                <w:lang w:val="zh-TW" w:eastAsia="zh-CN"/>
              </w:rPr>
              <w:t>），采集和上传</w:t>
            </w:r>
            <w:r>
              <w:rPr>
                <w:rFonts w:hint="eastAsia" w:ascii="宋体" w:hAnsi="宋体" w:eastAsia="宋体" w:cs="宋体"/>
                <w:b w:val="0"/>
                <w:bCs w:val="0"/>
                <w:sz w:val="21"/>
                <w:szCs w:val="21"/>
                <w:lang w:val="en-US" w:eastAsia="zh-CN"/>
              </w:rPr>
              <w:t>急</w:t>
            </w:r>
            <w:r>
              <w:rPr>
                <w:rFonts w:hint="eastAsia" w:ascii="宋体" w:hAnsi="宋体" w:eastAsia="宋体" w:cs="宋体"/>
                <w:b w:val="0"/>
                <w:bCs w:val="0"/>
                <w:sz w:val="21"/>
                <w:szCs w:val="21"/>
                <w:lang w:val="zh-TW" w:eastAsia="zh-CN"/>
              </w:rPr>
              <w:t>救事件时间点信息、院前电子病历信息。</w:t>
            </w:r>
          </w:p>
        </w:tc>
        <w:tc>
          <w:tcPr>
            <w:tcW w:w="3164" w:type="dxa"/>
            <w:shd w:val="clear" w:color="auto" w:fill="FFFFFF"/>
            <w:noWrap w:val="0"/>
            <w:vAlign w:val="center"/>
          </w:tcPr>
          <w:p w14:paraId="193C628C">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1.确保采集终端能够稳定、准确地采集急救事件时间点信息、院前电子病历信息，并及时上传。</w:t>
            </w:r>
          </w:p>
          <w:p w14:paraId="42559DF3">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2.提供硬件维修（包工包料）服务。</w:t>
            </w:r>
          </w:p>
          <w:p w14:paraId="60901B81">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3.如因设备老化或损坏导致无法正常使用，供应商需及时免费更换设备，更换后的设备需保证与原设备性能一致或更优。</w:t>
            </w:r>
          </w:p>
          <w:p w14:paraId="14A8DBEF">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default" w:ascii="宋体" w:hAnsi="宋体" w:eastAsia="宋体" w:cs="宋体"/>
                <w:b w:val="0"/>
                <w:bCs w:val="0"/>
                <w:sz w:val="21"/>
                <w:szCs w:val="21"/>
                <w:lang w:val="en-US" w:eastAsia="zh-CN"/>
              </w:rPr>
            </w:pPr>
          </w:p>
        </w:tc>
      </w:tr>
      <w:tr w14:paraId="4C990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163" w:hRule="atLeast"/>
          <w:jc w:val="center"/>
        </w:trPr>
        <w:tc>
          <w:tcPr>
            <w:tcW w:w="563" w:type="dxa"/>
            <w:shd w:val="clear" w:color="auto" w:fill="FFFFFF"/>
            <w:noWrap w:val="0"/>
            <w:vAlign w:val="center"/>
          </w:tcPr>
          <w:p w14:paraId="2781B089">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val="en-US" w:eastAsia="zh-CN"/>
              </w:rPr>
              <w:t>2</w:t>
            </w:r>
          </w:p>
        </w:tc>
        <w:tc>
          <w:tcPr>
            <w:tcW w:w="938" w:type="dxa"/>
            <w:shd w:val="clear" w:color="auto" w:fill="FFFFFF"/>
            <w:noWrap w:val="0"/>
            <w:vAlign w:val="center"/>
          </w:tcPr>
          <w:p w14:paraId="424FE262">
            <w:pPr>
              <w:pStyle w:val="13"/>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b w:val="0"/>
                <w:sz w:val="21"/>
                <w:szCs w:val="21"/>
                <w:lang w:val="zh-TW" w:eastAsia="zh-TW"/>
              </w:rPr>
            </w:pPr>
            <w:r>
              <w:rPr>
                <w:rFonts w:hint="eastAsia" w:ascii="宋体" w:hAnsi="宋体" w:eastAsia="宋体" w:cs="宋体"/>
                <w:b w:val="0"/>
                <w:bCs w:val="0"/>
                <w:sz w:val="21"/>
                <w:szCs w:val="21"/>
                <w:lang w:val="zh-TW" w:eastAsia="zh-CN"/>
              </w:rPr>
              <w:t>车载硬盘录像机</w:t>
            </w:r>
          </w:p>
        </w:tc>
        <w:tc>
          <w:tcPr>
            <w:tcW w:w="584" w:type="dxa"/>
            <w:shd w:val="clear" w:color="auto" w:fill="FFFFFF"/>
            <w:noWrap w:val="0"/>
            <w:vAlign w:val="center"/>
          </w:tcPr>
          <w:p w14:paraId="6DD42A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379" w:type="dxa"/>
            <w:shd w:val="clear" w:color="auto" w:fill="FFFFFF"/>
            <w:noWrap w:val="0"/>
            <w:vAlign w:val="center"/>
          </w:tcPr>
          <w:p w14:paraId="7E8EB8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b w:val="0"/>
                <w:color w:val="auto"/>
                <w:sz w:val="21"/>
                <w:szCs w:val="21"/>
                <w:lang w:eastAsia="zh-CN"/>
              </w:rPr>
              <w:t>海康威视AE-MN5042</w:t>
            </w:r>
          </w:p>
        </w:tc>
        <w:tc>
          <w:tcPr>
            <w:tcW w:w="2410" w:type="dxa"/>
            <w:shd w:val="clear" w:color="auto" w:fill="FFFFFF"/>
            <w:noWrap w:val="0"/>
            <w:vAlign w:val="center"/>
          </w:tcPr>
          <w:p w14:paraId="5EABAD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p>
        </w:tc>
        <w:tc>
          <w:tcPr>
            <w:tcW w:w="3164" w:type="dxa"/>
            <w:vMerge w:val="restart"/>
            <w:shd w:val="clear" w:color="auto" w:fill="FFFFFF"/>
            <w:noWrap w:val="0"/>
            <w:vAlign w:val="center"/>
          </w:tcPr>
          <w:p w14:paraId="2185726E">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1.确保录像画面清晰、存储正常，视频存储周期不少于3个月。</w:t>
            </w:r>
          </w:p>
          <w:p w14:paraId="2C53BF75">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2.提供硬件维修（包工包料）服务。</w:t>
            </w:r>
          </w:p>
          <w:p w14:paraId="5C0E3DC9">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3.确保配件齐全、完好，与对应设备兼容，若发现配件缺失或损坏，应在24小时内免费补齐或更换。</w:t>
            </w:r>
          </w:p>
          <w:p w14:paraId="0451D9B9">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3.如因设备老化或损坏导致无法正常使用，供应商需及时免费更换设备，更换后的设备需保证与原设备性能一致或更优。</w:t>
            </w:r>
          </w:p>
          <w:p w14:paraId="4E7BCB8E">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4.每月进行一次现场维护，查看设备运行状态，检查设备连接情况、存储容量等。</w:t>
            </w:r>
          </w:p>
        </w:tc>
      </w:tr>
      <w:tr w14:paraId="50F01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152" w:hRule="atLeast"/>
          <w:jc w:val="center"/>
        </w:trPr>
        <w:tc>
          <w:tcPr>
            <w:tcW w:w="563" w:type="dxa"/>
            <w:shd w:val="clear" w:color="auto" w:fill="FFFFFF"/>
            <w:noWrap w:val="0"/>
            <w:vAlign w:val="center"/>
          </w:tcPr>
          <w:p w14:paraId="33DEEB6E">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val="en-US" w:eastAsia="zh-CN"/>
              </w:rPr>
              <w:t>3</w:t>
            </w:r>
          </w:p>
        </w:tc>
        <w:tc>
          <w:tcPr>
            <w:tcW w:w="938" w:type="dxa"/>
            <w:shd w:val="clear" w:color="auto" w:fill="FFFFFF"/>
            <w:noWrap w:val="0"/>
            <w:vAlign w:val="center"/>
          </w:tcPr>
          <w:p w14:paraId="386A1853">
            <w:pPr>
              <w:pStyle w:val="13"/>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b w:val="0"/>
                <w:sz w:val="21"/>
                <w:szCs w:val="21"/>
                <w:lang w:val="zh-TW" w:eastAsia="zh-TW"/>
              </w:rPr>
            </w:pPr>
            <w:r>
              <w:rPr>
                <w:rFonts w:hint="eastAsia" w:ascii="宋体" w:hAnsi="宋体" w:eastAsia="宋体" w:cs="宋体"/>
                <w:b w:val="0"/>
                <w:bCs w:val="0"/>
                <w:sz w:val="21"/>
                <w:szCs w:val="21"/>
                <w:lang w:val="zh-TW" w:eastAsia="zh-CN"/>
              </w:rPr>
              <w:t>车载网络摄像机</w:t>
            </w:r>
          </w:p>
        </w:tc>
        <w:tc>
          <w:tcPr>
            <w:tcW w:w="584" w:type="dxa"/>
            <w:shd w:val="clear" w:color="auto" w:fill="FFFFFF"/>
            <w:noWrap w:val="0"/>
            <w:vAlign w:val="center"/>
          </w:tcPr>
          <w:p w14:paraId="742BD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379" w:type="dxa"/>
            <w:shd w:val="clear" w:color="auto" w:fill="FFFFFF"/>
            <w:noWrap w:val="0"/>
            <w:vAlign w:val="center"/>
          </w:tcPr>
          <w:p w14:paraId="3550B2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b w:val="0"/>
                <w:color w:val="auto"/>
                <w:sz w:val="21"/>
                <w:szCs w:val="21"/>
                <w:lang w:eastAsia="zh-CN"/>
              </w:rPr>
              <w:t>海康威视AE-VC229I-IS2.8MM</w:t>
            </w:r>
          </w:p>
        </w:tc>
        <w:tc>
          <w:tcPr>
            <w:tcW w:w="2410" w:type="dxa"/>
            <w:shd w:val="clear" w:color="auto" w:fill="FFFFFF"/>
            <w:noWrap w:val="0"/>
            <w:vAlign w:val="center"/>
          </w:tcPr>
          <w:p w14:paraId="65062D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p>
        </w:tc>
        <w:tc>
          <w:tcPr>
            <w:tcW w:w="3164" w:type="dxa"/>
            <w:vMerge w:val="continue"/>
            <w:shd w:val="clear" w:color="auto" w:fill="FFFFFF"/>
            <w:noWrap w:val="0"/>
            <w:vAlign w:val="center"/>
          </w:tcPr>
          <w:p w14:paraId="1AC1CD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p>
        </w:tc>
      </w:tr>
      <w:tr w14:paraId="04567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184" w:hRule="atLeast"/>
          <w:jc w:val="center"/>
        </w:trPr>
        <w:tc>
          <w:tcPr>
            <w:tcW w:w="563" w:type="dxa"/>
            <w:shd w:val="clear" w:color="auto" w:fill="FFFFFF"/>
            <w:noWrap w:val="0"/>
            <w:vAlign w:val="center"/>
          </w:tcPr>
          <w:p w14:paraId="76FC618A">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val="en-US" w:eastAsia="zh-CN"/>
              </w:rPr>
              <w:t>4</w:t>
            </w:r>
          </w:p>
        </w:tc>
        <w:tc>
          <w:tcPr>
            <w:tcW w:w="938" w:type="dxa"/>
            <w:shd w:val="clear" w:color="auto" w:fill="FFFFFF"/>
            <w:noWrap w:val="0"/>
            <w:vAlign w:val="center"/>
          </w:tcPr>
          <w:p w14:paraId="7976C3FA">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sz w:val="21"/>
                <w:szCs w:val="21"/>
                <w:lang w:eastAsia="zh-CN"/>
              </w:rPr>
            </w:pPr>
            <w:r>
              <w:rPr>
                <w:rFonts w:hint="eastAsia" w:ascii="宋体" w:hAnsi="宋体" w:eastAsia="宋体" w:cs="宋体"/>
                <w:b w:val="0"/>
                <w:bCs w:val="0"/>
                <w:sz w:val="21"/>
                <w:szCs w:val="21"/>
                <w:lang w:eastAsia="zh-CN"/>
              </w:rPr>
              <w:t>配件</w:t>
            </w:r>
          </w:p>
        </w:tc>
        <w:tc>
          <w:tcPr>
            <w:tcW w:w="584" w:type="dxa"/>
            <w:shd w:val="clear" w:color="auto" w:fill="FFFFFF"/>
            <w:noWrap w:val="0"/>
            <w:vAlign w:val="center"/>
          </w:tcPr>
          <w:p w14:paraId="19F478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379" w:type="dxa"/>
            <w:shd w:val="clear" w:color="auto" w:fill="FFFFFF"/>
            <w:noWrap w:val="0"/>
            <w:vAlign w:val="center"/>
          </w:tcPr>
          <w:p w14:paraId="49ED7C6C">
            <w:pPr>
              <w:pStyle w:val="13"/>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21"/>
                <w:szCs w:val="21"/>
                <w:lang w:eastAsia="zh-CN"/>
              </w:rPr>
            </w:pPr>
            <w:r>
              <w:rPr>
                <w:rFonts w:hint="eastAsia" w:ascii="宋体" w:hAnsi="宋体" w:eastAsia="宋体" w:cs="宋体"/>
                <w:b w:val="0"/>
                <w:color w:val="auto"/>
                <w:sz w:val="21"/>
                <w:szCs w:val="21"/>
                <w:lang w:eastAsia="zh-CN"/>
              </w:rPr>
              <w:t>海康威视</w:t>
            </w:r>
          </w:p>
        </w:tc>
        <w:tc>
          <w:tcPr>
            <w:tcW w:w="2410" w:type="dxa"/>
            <w:shd w:val="clear" w:color="auto" w:fill="FFFFFF"/>
            <w:noWrap w:val="0"/>
            <w:vAlign w:val="center"/>
          </w:tcPr>
          <w:p w14:paraId="3D2EB11C">
            <w:pPr>
              <w:pStyle w:val="13"/>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21"/>
                <w:szCs w:val="21"/>
                <w:lang w:eastAsia="zh-CN"/>
              </w:rPr>
            </w:pPr>
            <w:r>
              <w:rPr>
                <w:rFonts w:hint="eastAsia" w:ascii="宋体" w:hAnsi="宋体" w:eastAsia="宋体" w:cs="宋体"/>
                <w:b w:val="0"/>
                <w:color w:val="auto"/>
                <w:sz w:val="21"/>
                <w:szCs w:val="21"/>
                <w:lang w:val="en-US" w:eastAsia="zh-CN"/>
              </w:rPr>
              <w:t>车载调试工具：</w:t>
            </w:r>
            <w:r>
              <w:rPr>
                <w:rFonts w:hint="eastAsia" w:ascii="宋体" w:hAnsi="宋体" w:eastAsia="宋体" w:cs="宋体"/>
                <w:b w:val="0"/>
                <w:color w:val="auto"/>
                <w:sz w:val="21"/>
                <w:szCs w:val="21"/>
                <w:lang w:eastAsia="zh-CN"/>
              </w:rPr>
              <w:t>后装配件包、车载摄像机配件、报警按钮、后装机电产品、后装线束配件、综合安全管理软件</w:t>
            </w:r>
          </w:p>
        </w:tc>
        <w:tc>
          <w:tcPr>
            <w:tcW w:w="3164" w:type="dxa"/>
            <w:vMerge w:val="continue"/>
            <w:shd w:val="clear" w:color="auto" w:fill="FFFFFF"/>
            <w:noWrap w:val="0"/>
            <w:vAlign w:val="center"/>
          </w:tcPr>
          <w:p w14:paraId="68E034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p>
        </w:tc>
      </w:tr>
      <w:tr w14:paraId="7731D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528" w:hRule="atLeast"/>
          <w:jc w:val="center"/>
        </w:trPr>
        <w:tc>
          <w:tcPr>
            <w:tcW w:w="563" w:type="dxa"/>
            <w:shd w:val="clear" w:color="auto" w:fill="FFFFFF"/>
            <w:noWrap w:val="0"/>
            <w:vAlign w:val="center"/>
          </w:tcPr>
          <w:p w14:paraId="28F08819">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lang w:val="en-US" w:eastAsia="zh-CN"/>
              </w:rPr>
              <w:t>5</w:t>
            </w:r>
          </w:p>
        </w:tc>
        <w:tc>
          <w:tcPr>
            <w:tcW w:w="938" w:type="dxa"/>
            <w:shd w:val="clear" w:color="auto" w:fill="FFFFFF"/>
            <w:noWrap w:val="0"/>
            <w:vAlign w:val="center"/>
          </w:tcPr>
          <w:p w14:paraId="388C5563">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color w:val="auto"/>
                <w:sz w:val="21"/>
                <w:szCs w:val="21"/>
                <w:lang w:eastAsia="zh-CN"/>
              </w:rPr>
            </w:pPr>
            <w:r>
              <w:rPr>
                <w:rFonts w:hint="eastAsia" w:ascii="宋体" w:hAnsi="宋体" w:eastAsia="宋体" w:cs="宋体"/>
                <w:b w:val="0"/>
                <w:bCs w:val="0"/>
                <w:color w:val="auto"/>
                <w:sz w:val="21"/>
                <w:szCs w:val="21"/>
                <w:lang w:val="zh-TW" w:eastAsia="zh-CN"/>
              </w:rPr>
              <w:t>对讲外设</w:t>
            </w:r>
          </w:p>
        </w:tc>
        <w:tc>
          <w:tcPr>
            <w:tcW w:w="584" w:type="dxa"/>
            <w:shd w:val="clear" w:color="auto" w:fill="FFFFFF"/>
            <w:noWrap w:val="0"/>
            <w:vAlign w:val="center"/>
          </w:tcPr>
          <w:p w14:paraId="3E3E68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379" w:type="dxa"/>
            <w:shd w:val="clear" w:color="auto" w:fill="FFFFFF"/>
            <w:noWrap w:val="0"/>
            <w:vAlign w:val="center"/>
          </w:tcPr>
          <w:p w14:paraId="36C9B4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b w:val="0"/>
                <w:color w:val="auto"/>
                <w:sz w:val="21"/>
                <w:szCs w:val="21"/>
                <w:lang w:eastAsia="zh-CN"/>
              </w:rPr>
              <w:t>海康威视AE-MS2100</w:t>
            </w:r>
          </w:p>
        </w:tc>
        <w:tc>
          <w:tcPr>
            <w:tcW w:w="2410" w:type="dxa"/>
            <w:shd w:val="clear" w:color="auto" w:fill="FFFFFF"/>
            <w:noWrap w:val="0"/>
            <w:vAlign w:val="center"/>
          </w:tcPr>
          <w:p w14:paraId="06E760E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车载外置语音对讲盒</w:t>
            </w:r>
          </w:p>
        </w:tc>
        <w:tc>
          <w:tcPr>
            <w:tcW w:w="3164" w:type="dxa"/>
            <w:shd w:val="clear" w:color="auto" w:fill="FFFFFF"/>
            <w:noWrap w:val="0"/>
            <w:vAlign w:val="center"/>
          </w:tcPr>
          <w:p w14:paraId="2F01248A">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确保对讲设备音质清晰、信号稳定。</w:t>
            </w:r>
          </w:p>
          <w:p w14:paraId="7C37692F">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2.提供硬件维修（包工包料）服务。</w:t>
            </w:r>
          </w:p>
          <w:p w14:paraId="745E2E19">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val="0"/>
                <w:bCs w:val="0"/>
                <w:sz w:val="21"/>
                <w:szCs w:val="21"/>
                <w:lang w:val="en-US" w:eastAsia="zh-CN"/>
              </w:rPr>
              <w:t>如因设备老化或损坏导致无法正常使用，供应商需及时免费更换设备。</w:t>
            </w:r>
          </w:p>
        </w:tc>
      </w:tr>
      <w:tr w14:paraId="015E0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357" w:hRule="atLeast"/>
          <w:jc w:val="center"/>
        </w:trPr>
        <w:tc>
          <w:tcPr>
            <w:tcW w:w="563" w:type="dxa"/>
            <w:shd w:val="clear" w:color="auto" w:fill="FFFFFF"/>
            <w:noWrap w:val="0"/>
            <w:vAlign w:val="center"/>
          </w:tcPr>
          <w:p w14:paraId="1A76C029">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val="en-US" w:eastAsia="zh-CN"/>
              </w:rPr>
              <w:t>6</w:t>
            </w:r>
          </w:p>
        </w:tc>
        <w:tc>
          <w:tcPr>
            <w:tcW w:w="938" w:type="dxa"/>
            <w:shd w:val="clear" w:color="auto" w:fill="FFFFFF"/>
            <w:noWrap w:val="0"/>
            <w:vAlign w:val="center"/>
          </w:tcPr>
          <w:p w14:paraId="0F7DBE23">
            <w:pPr>
              <w:pStyle w:val="13"/>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sz w:val="21"/>
                <w:szCs w:val="21"/>
                <w:lang w:eastAsia="zh-CN"/>
              </w:rPr>
            </w:pPr>
            <w:r>
              <w:rPr>
                <w:rFonts w:hint="eastAsia" w:ascii="宋体" w:hAnsi="宋体" w:eastAsia="宋体" w:cs="宋体"/>
                <w:b w:val="0"/>
                <w:bCs w:val="0"/>
                <w:sz w:val="21"/>
                <w:szCs w:val="21"/>
                <w:lang w:val="zh-TW" w:eastAsia="zh-CN"/>
              </w:rPr>
              <w:t>电话卡</w:t>
            </w:r>
          </w:p>
        </w:tc>
        <w:tc>
          <w:tcPr>
            <w:tcW w:w="584" w:type="dxa"/>
            <w:shd w:val="clear" w:color="auto" w:fill="FFFFFF"/>
            <w:noWrap w:val="0"/>
            <w:vAlign w:val="center"/>
          </w:tcPr>
          <w:p w14:paraId="204770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379" w:type="dxa"/>
            <w:shd w:val="clear" w:color="auto" w:fill="FFFFFF"/>
            <w:noWrap w:val="0"/>
            <w:vAlign w:val="center"/>
          </w:tcPr>
          <w:p w14:paraId="3DCAD30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目前使用的是电信流量卡。服务到期时间：第一批3张流量卡到期日为2027年12月31日，第二批3张流量卡到期日为2028年3月5日。</w:t>
            </w:r>
          </w:p>
        </w:tc>
        <w:tc>
          <w:tcPr>
            <w:tcW w:w="2410" w:type="dxa"/>
            <w:shd w:val="clear" w:color="auto" w:fill="FFFFFF"/>
            <w:noWrap w:val="0"/>
            <w:vAlign w:val="center"/>
          </w:tcPr>
          <w:p w14:paraId="5141C7E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1.每辆救护车1台有2张流量电话卡</w:t>
            </w:r>
          </w:p>
          <w:p w14:paraId="7D2C92B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2.采集终端1张</w:t>
            </w:r>
          </w:p>
          <w:p w14:paraId="40A14AE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3.车载主机设备1张</w:t>
            </w:r>
          </w:p>
        </w:tc>
        <w:tc>
          <w:tcPr>
            <w:tcW w:w="3164" w:type="dxa"/>
            <w:shd w:val="clear" w:color="auto" w:fill="FFFFFF"/>
            <w:noWrap w:val="0"/>
            <w:vAlign w:val="center"/>
          </w:tcPr>
          <w:p w14:paraId="090D349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 7×24 小时电话卡技术支持服务。</w:t>
            </w:r>
          </w:p>
          <w:p w14:paraId="0A84A98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确保电话卡能够正常使用，若出现欠费、信号中断、流量不足等问题，</w:t>
            </w:r>
            <w:r>
              <w:rPr>
                <w:rFonts w:hint="eastAsia" w:ascii="宋体" w:hAnsi="宋体" w:eastAsia="宋体" w:cs="宋体"/>
                <w:sz w:val="21"/>
                <w:szCs w:val="21"/>
                <w:lang w:val="en-US" w:eastAsia="zh-CN"/>
              </w:rPr>
              <w:t>需在10分钟内响应。</w:t>
            </w:r>
          </w:p>
        </w:tc>
      </w:tr>
    </w:tbl>
    <w:p w14:paraId="1EE25057">
      <w:pPr>
        <w:keepNext w:val="0"/>
        <w:keepLines w:val="0"/>
        <w:pageBreakBefore w:val="0"/>
        <w:numPr>
          <w:ilvl w:val="0"/>
          <w:numId w:val="1"/>
        </w:numPr>
        <w:kinsoku/>
        <w:wordWrap/>
        <w:overflowPunct/>
        <w:topLinePunct w:val="0"/>
        <w:autoSpaceDE/>
        <w:autoSpaceDN/>
        <w:bidi w:val="0"/>
        <w:adjustRightInd/>
        <w:snapToGrid/>
        <w:spacing w:line="480" w:lineRule="exact"/>
        <w:ind w:leftChars="0" w:firstLine="560" w:firstLineChars="200"/>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服务要求</w:t>
      </w:r>
    </w:p>
    <w:p w14:paraId="40CC3BB9">
      <w:pPr>
        <w:pStyle w:val="5"/>
        <w:keepNext w:val="0"/>
        <w:keepLines w:val="0"/>
        <w:pageBreakBefore w:val="0"/>
        <w:widowControl w:val="0"/>
        <w:kinsoku/>
        <w:wordWrap/>
        <w:overflowPunct/>
        <w:topLinePunct w:val="0"/>
        <w:autoSpaceDE/>
        <w:autoSpaceDN/>
        <w:bidi w:val="0"/>
        <w:adjustRightInd/>
        <w:snapToGrid/>
        <w:spacing w:before="0"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1.</w:t>
      </w:r>
      <w:r>
        <w:rPr>
          <w:rFonts w:hint="eastAsia" w:ascii="仿宋" w:hAnsi="仿宋" w:eastAsia="仿宋" w:cs="仿宋"/>
          <w:kern w:val="2"/>
          <w:sz w:val="30"/>
          <w:szCs w:val="30"/>
          <w:lang w:val="en-US" w:eastAsia="zh-CN" w:bidi="ar-SA"/>
        </w:rPr>
        <w:t>本次服务采用包干价形式，供应商需提供服务内容中的软硬件维护、网络维护、电话卡的供应、管理等全过程服务，硬件部分需包工包料。</w:t>
      </w:r>
    </w:p>
    <w:p w14:paraId="69866D44">
      <w:pPr>
        <w:pStyle w:val="5"/>
        <w:keepNext w:val="0"/>
        <w:keepLines w:val="0"/>
        <w:pageBreakBefore w:val="0"/>
        <w:widowControl w:val="0"/>
        <w:kinsoku/>
        <w:wordWrap/>
        <w:overflowPunct/>
        <w:topLinePunct w:val="0"/>
        <w:autoSpaceDE/>
        <w:autoSpaceDN/>
        <w:bidi w:val="0"/>
        <w:adjustRightInd/>
        <w:snapToGrid/>
        <w:spacing w:before="0" w:line="480" w:lineRule="exact"/>
        <w:ind w:firstLine="600" w:firstLineChars="200"/>
        <w:textAlignment w:val="auto"/>
        <w:rPr>
          <w:rFonts w:hint="default"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2.</w:t>
      </w:r>
      <w:r>
        <w:rPr>
          <w:rFonts w:hint="eastAsia" w:ascii="仿宋" w:hAnsi="仿宋" w:eastAsia="仿宋" w:cs="仿宋"/>
          <w:kern w:val="2"/>
          <w:sz w:val="30"/>
          <w:szCs w:val="30"/>
          <w:lang w:val="en-US" w:eastAsia="zh-CN" w:bidi="ar-SA"/>
        </w:rPr>
        <w:t>需指派专人与院方对接，做到事事落实到人，建立维保工作台帐，详细记录设备维护时间、维护内容、故障处理情况等信息</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对不能及时完成事项要说明原因。</w:t>
      </w:r>
    </w:p>
    <w:p w14:paraId="62E31996">
      <w:pPr>
        <w:pStyle w:val="5"/>
        <w:keepNext w:val="0"/>
        <w:keepLines w:val="0"/>
        <w:pageBreakBefore w:val="0"/>
        <w:widowControl w:val="0"/>
        <w:kinsoku/>
        <w:wordWrap/>
        <w:overflowPunct/>
        <w:topLinePunct w:val="0"/>
        <w:autoSpaceDE/>
        <w:autoSpaceDN/>
        <w:bidi w:val="0"/>
        <w:adjustRightInd/>
        <w:snapToGrid/>
        <w:spacing w:before="0"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3.</w:t>
      </w:r>
      <w:r>
        <w:rPr>
          <w:rFonts w:hint="eastAsia" w:ascii="仿宋" w:hAnsi="仿宋" w:eastAsia="仿宋" w:cs="仿宋"/>
          <w:kern w:val="2"/>
          <w:sz w:val="30"/>
          <w:szCs w:val="30"/>
          <w:lang w:val="en-US" w:eastAsia="zh-CN" w:bidi="ar-SA"/>
        </w:rPr>
        <w:t>120接警系统是120指挥中心派出诊任务的必要信息平台，需确保全年每天24小时不间断运行。需提供7*24小时服务（一周七天，一天24小时）。包括通过采用运维方维保运维平台、电话、远程维护、现场服务等方式，保证有足够的人员负责本项目运维工作，并保证10分钟内对用户的维护请求予以响应。</w:t>
      </w:r>
    </w:p>
    <w:p w14:paraId="74164ACE">
      <w:pPr>
        <w:keepNext w:val="0"/>
        <w:keepLines w:val="0"/>
        <w:pageBreakBefore w:val="0"/>
        <w:numPr>
          <w:ilvl w:val="0"/>
          <w:numId w:val="1"/>
        </w:numPr>
        <w:kinsoku/>
        <w:wordWrap/>
        <w:overflowPunct/>
        <w:topLinePunct w:val="0"/>
        <w:autoSpaceDE/>
        <w:autoSpaceDN/>
        <w:bidi w:val="0"/>
        <w:adjustRightInd/>
        <w:snapToGrid/>
        <w:spacing w:line="480" w:lineRule="exact"/>
        <w:ind w:leftChars="0" w:firstLine="560" w:firstLineChars="200"/>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报名资料</w:t>
      </w:r>
    </w:p>
    <w:p w14:paraId="7E8A4A9D">
      <w:pPr>
        <w:pStyle w:val="5"/>
        <w:keepNext w:val="0"/>
        <w:keepLines w:val="0"/>
        <w:pageBreakBefore w:val="0"/>
        <w:widowControl w:val="0"/>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eastAsia="仿宋" w:cs="仿宋"/>
          <w:kern w:val="2"/>
          <w:sz w:val="30"/>
          <w:szCs w:val="30"/>
          <w:lang w:val="en-US" w:eastAsia="zh-CN" w:bidi="ar-SA"/>
        </w:rPr>
      </w:pPr>
      <w:r>
        <w:rPr>
          <w:rFonts w:hint="eastAsia" w:ascii="仿宋" w:hAnsi="仿宋" w:eastAsia="仿宋" w:cs="仿宋"/>
          <w:i w:val="0"/>
          <w:iCs w:val="0"/>
          <w:color w:val="000000"/>
          <w:sz w:val="28"/>
          <w:szCs w:val="28"/>
          <w:u w:val="none"/>
          <w:lang w:val="en-US" w:eastAsia="zh-CN"/>
        </w:rPr>
        <w:t>报名资料须包含以下内容，并按照此顺序制作：</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1.项目调研报名表；</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2.资质</w:t>
      </w:r>
      <w:r>
        <w:rPr>
          <w:rFonts w:hint="eastAsia" w:ascii="仿宋" w:hAnsi="仿宋" w:cs="仿宋"/>
          <w:i w:val="0"/>
          <w:iCs w:val="0"/>
          <w:color w:val="000000"/>
          <w:sz w:val="28"/>
          <w:szCs w:val="28"/>
          <w:u w:val="none"/>
          <w:lang w:val="en-US" w:eastAsia="zh-CN"/>
        </w:rPr>
        <w:t>：</w:t>
      </w:r>
      <w:r>
        <w:rPr>
          <w:rFonts w:hint="eastAsia" w:ascii="仿宋" w:hAnsi="仿宋" w:eastAsia="仿宋" w:cs="仿宋"/>
          <w:kern w:val="2"/>
          <w:sz w:val="30"/>
          <w:szCs w:val="30"/>
          <w:lang w:val="en-US" w:eastAsia="zh-CN" w:bidi="ar-SA"/>
        </w:rPr>
        <w:t>营业执照</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法定代表人授权书</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法人及被授权人身</w:t>
      </w:r>
    </w:p>
    <w:p w14:paraId="404601A6">
      <w:pPr>
        <w:pStyle w:val="5"/>
        <w:keepNext w:val="0"/>
        <w:keepLines w:val="0"/>
        <w:pageBreakBefore w:val="0"/>
        <w:widowControl w:val="0"/>
        <w:kinsoku/>
        <w:wordWrap/>
        <w:overflowPunct/>
        <w:topLinePunct w:val="0"/>
        <w:autoSpaceDE/>
        <w:autoSpaceDN/>
        <w:bidi w:val="0"/>
        <w:adjustRightInd/>
        <w:snapToGrid/>
        <w:spacing w:before="0" w:line="480" w:lineRule="exact"/>
        <w:textAlignment w:val="auto"/>
        <w:rPr>
          <w:rFonts w:hint="eastAsia" w:ascii="仿宋" w:hAnsi="仿宋" w:cs="仿宋"/>
          <w:kern w:val="2"/>
          <w:sz w:val="30"/>
          <w:szCs w:val="30"/>
          <w:lang w:val="en-US" w:eastAsia="zh-CN" w:bidi="ar-SA"/>
        </w:rPr>
      </w:pPr>
      <w:r>
        <w:rPr>
          <w:rFonts w:hint="eastAsia" w:ascii="仿宋" w:hAnsi="仿宋" w:eastAsia="仿宋" w:cs="仿宋"/>
          <w:kern w:val="2"/>
          <w:sz w:val="30"/>
          <w:szCs w:val="30"/>
          <w:lang w:val="en-US" w:eastAsia="zh-CN" w:bidi="ar-SA"/>
        </w:rPr>
        <w:t>份证</w:t>
      </w:r>
      <w:r>
        <w:rPr>
          <w:rFonts w:hint="eastAsia" w:ascii="仿宋" w:hAnsi="仿宋" w:cs="仿宋"/>
          <w:kern w:val="2"/>
          <w:sz w:val="30"/>
          <w:szCs w:val="30"/>
          <w:lang w:val="en-US" w:eastAsia="zh-CN" w:bidi="ar-SA"/>
        </w:rPr>
        <w:t>、项目资质、授权函等；</w:t>
      </w:r>
    </w:p>
    <w:p w14:paraId="1E881928">
      <w:pPr>
        <w:pStyle w:val="5"/>
        <w:keepNext w:val="0"/>
        <w:keepLines w:val="0"/>
        <w:pageBreakBefore w:val="0"/>
        <w:widowControl w:val="0"/>
        <w:numPr>
          <w:ilvl w:val="0"/>
          <w:numId w:val="2"/>
        </w:numPr>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项目调研</w:t>
      </w:r>
      <w:r>
        <w:rPr>
          <w:rFonts w:hint="eastAsia" w:ascii="仿宋" w:hAnsi="仿宋" w:cs="仿宋"/>
          <w:i w:val="0"/>
          <w:iCs w:val="0"/>
          <w:color w:val="000000"/>
          <w:sz w:val="28"/>
          <w:szCs w:val="28"/>
          <w:u w:val="none"/>
          <w:lang w:val="en-US" w:eastAsia="zh-CN"/>
        </w:rPr>
        <w:t>报价表；</w:t>
      </w:r>
    </w:p>
    <w:p w14:paraId="47753ABF">
      <w:pPr>
        <w:pStyle w:val="5"/>
        <w:keepNext w:val="0"/>
        <w:keepLines w:val="0"/>
        <w:pageBreakBefore w:val="0"/>
        <w:widowControl w:val="0"/>
        <w:numPr>
          <w:ilvl w:val="0"/>
          <w:numId w:val="2"/>
        </w:numPr>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技术或</w:t>
      </w:r>
      <w:r>
        <w:rPr>
          <w:rFonts w:hint="eastAsia" w:ascii="仿宋" w:hAnsi="仿宋" w:eastAsia="仿宋" w:cs="仿宋"/>
          <w:i w:val="0"/>
          <w:iCs w:val="0"/>
          <w:color w:val="000000"/>
          <w:sz w:val="28"/>
          <w:szCs w:val="28"/>
          <w:u w:val="none"/>
          <w:lang w:val="en-US" w:eastAsia="zh-CN"/>
        </w:rPr>
        <w:t>服务方案（格式自拟）；</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包含但不仅限于以上内容。</w:t>
      </w:r>
    </w:p>
    <w:p w14:paraId="636C3285">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四、报名时间、方式</w:t>
      </w:r>
    </w:p>
    <w:p w14:paraId="7AC604ED">
      <w:pPr>
        <w:pStyle w:val="5"/>
        <w:keepNext w:val="0"/>
        <w:keepLines w:val="0"/>
        <w:pageBreakBefore w:val="0"/>
        <w:widowControl w:val="0"/>
        <w:kinsoku/>
        <w:wordWrap/>
        <w:overflowPunct/>
        <w:topLinePunct w:val="0"/>
        <w:autoSpaceDE/>
        <w:autoSpaceDN/>
        <w:bidi w:val="0"/>
        <w:adjustRightInd/>
        <w:snapToGrid/>
        <w:spacing w:before="0" w:line="480" w:lineRule="exact"/>
        <w:ind w:firstLine="420" w:firstLineChars="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（一）</w:t>
      </w:r>
      <w:r>
        <w:rPr>
          <w:rFonts w:hint="eastAsia" w:ascii="仿宋" w:hAnsi="仿宋" w:eastAsia="仿宋" w:cs="仿宋"/>
          <w:kern w:val="2"/>
          <w:sz w:val="30"/>
          <w:szCs w:val="30"/>
          <w:lang w:val="en-US" w:eastAsia="zh-CN" w:bidi="ar-SA"/>
        </w:rPr>
        <w:t>报名时间：本公告自挂网公告日起，截止时间</w:t>
      </w:r>
      <w:r>
        <w:rPr>
          <w:rFonts w:hint="eastAsia" w:ascii="仿宋" w:hAnsi="仿宋" w:cs="仿宋"/>
          <w:kern w:val="2"/>
          <w:sz w:val="30"/>
          <w:szCs w:val="30"/>
          <w:lang w:val="en-US" w:eastAsia="zh-CN" w:bidi="ar-SA"/>
        </w:rPr>
        <w:t>为自发布公告起第5个工作日（包含发布当天）</w:t>
      </w:r>
      <w:r>
        <w:rPr>
          <w:rFonts w:hint="eastAsia" w:ascii="仿宋" w:hAnsi="仿宋" w:eastAsia="仿宋" w:cs="仿宋"/>
          <w:kern w:val="2"/>
          <w:sz w:val="30"/>
          <w:szCs w:val="30"/>
          <w:lang w:val="en-US" w:eastAsia="zh-CN" w:bidi="ar-SA"/>
        </w:rPr>
        <w:t>，公告截止日期后递交的报名资料无效。</w:t>
      </w:r>
    </w:p>
    <w:p w14:paraId="799D1027">
      <w:pPr>
        <w:pStyle w:val="5"/>
        <w:keepNext w:val="0"/>
        <w:keepLines w:val="0"/>
        <w:pageBreakBefore w:val="0"/>
        <w:widowControl w:val="0"/>
        <w:kinsoku/>
        <w:wordWrap/>
        <w:overflowPunct/>
        <w:topLinePunct w:val="0"/>
        <w:autoSpaceDE/>
        <w:autoSpaceDN/>
        <w:bidi w:val="0"/>
        <w:adjustRightInd/>
        <w:snapToGrid/>
        <w:spacing w:before="0" w:line="480" w:lineRule="exact"/>
        <w:ind w:firstLine="420" w:firstLineChars="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（二）</w:t>
      </w:r>
      <w:r>
        <w:rPr>
          <w:rFonts w:hint="eastAsia" w:ascii="仿宋" w:hAnsi="仿宋" w:eastAsia="仿宋" w:cs="仿宋"/>
          <w:kern w:val="2"/>
          <w:sz w:val="30"/>
          <w:szCs w:val="30"/>
          <w:lang w:val="en-US" w:eastAsia="zh-CN" w:bidi="ar-SA"/>
        </w:rPr>
        <w:t>报名方式:本次</w:t>
      </w:r>
      <w:bookmarkStart w:id="25" w:name="_GoBack"/>
      <w:bookmarkEnd w:id="25"/>
      <w:r>
        <w:rPr>
          <w:rFonts w:hint="eastAsia" w:ascii="仿宋" w:hAnsi="仿宋" w:eastAsia="仿宋" w:cs="仿宋"/>
          <w:kern w:val="2"/>
          <w:sz w:val="30"/>
          <w:szCs w:val="30"/>
          <w:lang w:val="en-US" w:eastAsia="zh-CN" w:bidi="ar-SA"/>
        </w:rPr>
        <w:t>市场调研活动采用邮箱报名，不接受现场报名。</w:t>
      </w:r>
    </w:p>
    <w:p w14:paraId="60BFDB89">
      <w:pPr>
        <w:pStyle w:val="5"/>
        <w:keepNext w:val="0"/>
        <w:keepLines w:val="0"/>
        <w:pageBreakBefore w:val="0"/>
        <w:widowControl w:val="0"/>
        <w:kinsoku/>
        <w:wordWrap/>
        <w:overflowPunct/>
        <w:topLinePunct w:val="0"/>
        <w:autoSpaceDE/>
        <w:autoSpaceDN/>
        <w:bidi w:val="0"/>
        <w:adjustRightInd/>
        <w:snapToGrid/>
        <w:spacing w:before="0" w:line="480" w:lineRule="exact"/>
        <w:ind w:firstLine="420" w:firstLineChars="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（三）</w:t>
      </w:r>
      <w:r>
        <w:rPr>
          <w:rFonts w:hint="eastAsia" w:ascii="仿宋" w:hAnsi="仿宋" w:eastAsia="仿宋" w:cs="仿宋"/>
          <w:kern w:val="2"/>
          <w:sz w:val="30"/>
          <w:szCs w:val="30"/>
          <w:lang w:val="en-US" w:eastAsia="zh-CN" w:bidi="ar-SA"/>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kern w:val="2"/>
          <w:sz w:val="30"/>
          <w:szCs w:val="30"/>
          <w:lang w:val="en-US" w:eastAsia="zh-CN" w:bidi="ar-SA"/>
        </w:rPr>
        <w:t>。邮件名称：“XXXX项目名称+公司名称+联系人+联系电话）”报名资料目录见附件。</w:t>
      </w:r>
    </w:p>
    <w:p w14:paraId="4D42BBD6">
      <w:pPr>
        <w:pStyle w:val="5"/>
        <w:keepNext w:val="0"/>
        <w:keepLines w:val="0"/>
        <w:pageBreakBefore w:val="0"/>
        <w:widowControl w:val="0"/>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2</w:t>
      </w:r>
      <w:r>
        <w:rPr>
          <w:rFonts w:hint="eastAsia" w:ascii="仿宋" w:hAnsi="仿宋" w:eastAsia="仿宋" w:cs="仿宋"/>
          <w:kern w:val="2"/>
          <w:sz w:val="30"/>
          <w:szCs w:val="30"/>
          <w:lang w:val="en-US" w:eastAsia="zh-CN" w:bidi="ar-SA"/>
        </w:rPr>
        <w:t>.联系人：报名资询：</w:t>
      </w:r>
      <w:r>
        <w:rPr>
          <w:rFonts w:hint="eastAsia" w:ascii="仿宋" w:hAnsi="仿宋" w:cs="仿宋"/>
          <w:kern w:val="2"/>
          <w:sz w:val="30"/>
          <w:szCs w:val="30"/>
          <w:lang w:val="en-US" w:eastAsia="zh-CN" w:bidi="ar-SA"/>
        </w:rPr>
        <w:t>罗</w:t>
      </w:r>
      <w:r>
        <w:rPr>
          <w:rFonts w:hint="eastAsia" w:ascii="仿宋" w:hAnsi="仿宋" w:eastAsia="仿宋" w:cs="仿宋"/>
          <w:kern w:val="2"/>
          <w:sz w:val="30"/>
          <w:szCs w:val="30"/>
          <w:lang w:val="en-US" w:eastAsia="zh-CN" w:bidi="ar-SA"/>
        </w:rPr>
        <w:t>老师 018-16119516</w:t>
      </w:r>
    </w:p>
    <w:p w14:paraId="7252355D">
      <w:pPr>
        <w:pStyle w:val="5"/>
        <w:keepNext w:val="0"/>
        <w:keepLines w:val="0"/>
        <w:pageBreakBefore w:val="0"/>
        <w:widowControl w:val="0"/>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3.线上或线下集中调研需求论证时间及地点，另行通知，请参加调研会的供应商准备相应的纸质版报价表及汇报PPT等。</w:t>
      </w:r>
    </w:p>
    <w:p w14:paraId="56916A7D">
      <w:pPr>
        <w:keepNext w:val="0"/>
        <w:keepLines w:val="0"/>
        <w:pageBreakBefore w:val="0"/>
        <w:numPr>
          <w:numId w:val="0"/>
        </w:numPr>
        <w:kinsoku/>
        <w:wordWrap/>
        <w:overflowPunct/>
        <w:topLinePunct w:val="0"/>
        <w:autoSpaceDE/>
        <w:autoSpaceDN/>
        <w:bidi w:val="0"/>
        <w:adjustRightInd/>
        <w:snapToGrid/>
        <w:spacing w:line="480" w:lineRule="exact"/>
        <w:ind w:leftChars="200"/>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五、其他说明</w:t>
      </w:r>
    </w:p>
    <w:p w14:paraId="04B7A00E">
      <w:pPr>
        <w:pStyle w:val="5"/>
        <w:keepNext w:val="0"/>
        <w:keepLines w:val="0"/>
        <w:pageBreakBefore w:val="0"/>
        <w:widowControl w:val="0"/>
        <w:kinsoku/>
        <w:wordWrap/>
        <w:overflowPunct/>
        <w:topLinePunct w:val="0"/>
        <w:autoSpaceDE/>
        <w:autoSpaceDN/>
        <w:bidi w:val="0"/>
        <w:adjustRightInd/>
        <w:snapToGrid/>
        <w:spacing w:before="0"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14:paraId="593D18A5">
      <w:pPr>
        <w:pStyle w:val="5"/>
        <w:keepNext w:val="0"/>
        <w:keepLines w:val="0"/>
        <w:pageBreakBefore w:val="0"/>
        <w:widowControl w:val="0"/>
        <w:kinsoku/>
        <w:wordWrap/>
        <w:overflowPunct/>
        <w:topLinePunct w:val="0"/>
        <w:autoSpaceDE/>
        <w:autoSpaceDN/>
        <w:bidi w:val="0"/>
        <w:adjustRightInd/>
        <w:snapToGrid/>
        <w:spacing w:before="0"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2</w:t>
      </w:r>
      <w:r>
        <w:rPr>
          <w:rFonts w:hint="eastAsia" w:ascii="仿宋" w:hAnsi="仿宋" w:eastAsia="仿宋" w:cs="仿宋"/>
          <w:kern w:val="2"/>
          <w:sz w:val="30"/>
          <w:szCs w:val="30"/>
          <w:lang w:val="en-US" w:eastAsia="zh-CN" w:bidi="ar-SA"/>
        </w:rPr>
        <w:t>.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271FFF4C">
      <w:pPr>
        <w:pStyle w:val="5"/>
        <w:keepNext w:val="0"/>
        <w:keepLines w:val="0"/>
        <w:pageBreakBefore w:val="0"/>
        <w:widowControl w:val="0"/>
        <w:kinsoku/>
        <w:wordWrap/>
        <w:overflowPunct/>
        <w:topLinePunct w:val="0"/>
        <w:autoSpaceDE/>
        <w:autoSpaceDN/>
        <w:bidi w:val="0"/>
        <w:adjustRightInd/>
        <w:snapToGrid/>
        <w:spacing w:before="0"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3.参加供应商保证拟推荐货物应为合法、全新、未使用过的原装正品，配置应为出厂标准配置，如有选配件需单独注明；如需使用单一来源的耗材也需单独注明。</w:t>
      </w:r>
    </w:p>
    <w:p w14:paraId="5A5043D1">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480EA384">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69BBD4FE">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225678AF">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66CB2802">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14:paraId="6E920FDC">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4887D6C7">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486516A3">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66361942">
      <w:pPr>
        <w:rPr>
          <w:rFonts w:hint="eastAsia"/>
          <w:lang w:val="en-US" w:eastAsia="zh-CN"/>
        </w:rPr>
      </w:pPr>
    </w:p>
    <w:p w14:paraId="0F8EC2E9">
      <w:pPr>
        <w:pStyle w:val="5"/>
        <w:rPr>
          <w:rFonts w:hint="default"/>
          <w:lang w:val="en-US" w:eastAsia="zh-CN"/>
        </w:rPr>
      </w:pPr>
    </w:p>
    <w:p w14:paraId="543B6727">
      <w:pPr>
        <w:pStyle w:val="5"/>
        <w:rPr>
          <w:rFonts w:hint="eastAsia"/>
          <w:lang w:eastAsia="zh-CN"/>
        </w:rPr>
      </w:pPr>
    </w:p>
    <w:p w14:paraId="2E525276">
      <w:pPr>
        <w:pStyle w:val="2"/>
      </w:pPr>
    </w:p>
    <w:p w14:paraId="3098A707">
      <w:pPr>
        <w:pStyle w:val="2"/>
      </w:pPr>
    </w:p>
    <w:p w14:paraId="1AEB0CC4">
      <w:pPr>
        <w:pStyle w:val="2"/>
      </w:pPr>
    </w:p>
    <w:p w14:paraId="0EE9E23B">
      <w:pPr>
        <w:pStyle w:val="2"/>
      </w:pPr>
    </w:p>
    <w:p w14:paraId="0E71DE95">
      <w:pPr>
        <w:pStyle w:val="2"/>
      </w:pPr>
    </w:p>
    <w:p w14:paraId="48703611">
      <w:pPr>
        <w:pStyle w:val="2"/>
      </w:pPr>
    </w:p>
    <w:p w14:paraId="143145BB">
      <w:pPr>
        <w:pStyle w:val="2"/>
      </w:pPr>
    </w:p>
    <w:p w14:paraId="105FE119">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3A7D622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710396C7">
          <w:pPr>
            <w:spacing w:before="0" w:beforeLines="0" w:after="0" w:afterLines="0" w:line="240" w:lineRule="auto"/>
            <w:ind w:left="0" w:leftChars="0" w:right="0" w:rightChars="0" w:firstLine="0" w:firstLineChars="0"/>
            <w:jc w:val="center"/>
          </w:pPr>
        </w:p>
        <w:p w14:paraId="53EAFF58">
          <w:pPr>
            <w:pStyle w:val="6"/>
            <w:tabs>
              <w:tab w:val="right" w:leader="dot" w:pos="8306"/>
            </w:tabs>
          </w:pPr>
          <w:r>
            <w:fldChar w:fldCharType="begin"/>
          </w:r>
          <w:r>
            <w:instrText xml:space="preserve">TOC \o "1-3" \h \u </w:instrText>
          </w:r>
          <w:r>
            <w:fldChar w:fldCharType="separate"/>
          </w:r>
          <w:r>
            <w:fldChar w:fldCharType="begin"/>
          </w:r>
          <w:r>
            <w:instrText xml:space="preserve"> HYPERLINK \l _Toc14124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_Toc14124 \h </w:instrText>
          </w:r>
          <w:r>
            <w:fldChar w:fldCharType="separate"/>
          </w:r>
          <w:r>
            <w:t>6</w:t>
          </w:r>
          <w:r>
            <w:fldChar w:fldCharType="end"/>
          </w:r>
          <w:r>
            <w:fldChar w:fldCharType="end"/>
          </w:r>
        </w:p>
        <w:p w14:paraId="2C973C61">
          <w:pPr>
            <w:pStyle w:val="6"/>
            <w:tabs>
              <w:tab w:val="right" w:leader="dot" w:pos="8306"/>
            </w:tabs>
          </w:pPr>
          <w:r>
            <w:fldChar w:fldCharType="begin"/>
          </w:r>
          <w:r>
            <w:instrText xml:space="preserve"> HYPERLINK \l _Toc2979 </w:instrText>
          </w:r>
          <w:r>
            <w:fldChar w:fldCharType="separate"/>
          </w:r>
          <w:r>
            <w:rPr>
              <w:rFonts w:hint="eastAsia"/>
              <w:lang w:val="en-US" w:eastAsia="zh-CN"/>
            </w:rPr>
            <w:t>二、资质：</w:t>
          </w:r>
          <w:r>
            <w:tab/>
          </w:r>
          <w:r>
            <w:fldChar w:fldCharType="begin"/>
          </w:r>
          <w:r>
            <w:instrText xml:space="preserve"> PAGEREF _Toc2979 \h </w:instrText>
          </w:r>
          <w:r>
            <w:fldChar w:fldCharType="separate"/>
          </w:r>
          <w:r>
            <w:t>6</w:t>
          </w:r>
          <w:r>
            <w:fldChar w:fldCharType="end"/>
          </w:r>
          <w:r>
            <w:fldChar w:fldCharType="end"/>
          </w:r>
        </w:p>
        <w:p w14:paraId="646E6C6C">
          <w:pPr>
            <w:pStyle w:val="7"/>
            <w:tabs>
              <w:tab w:val="right" w:leader="dot" w:pos="8306"/>
            </w:tabs>
          </w:pPr>
          <w:r>
            <w:fldChar w:fldCharType="begin"/>
          </w:r>
          <w:r>
            <w:instrText xml:space="preserve"> HYPERLINK \l _Toc2749 </w:instrText>
          </w:r>
          <w:r>
            <w:fldChar w:fldCharType="separate"/>
          </w:r>
          <w:r>
            <w:rPr>
              <w:rFonts w:hint="eastAsia"/>
              <w:lang w:val="en-US" w:eastAsia="zh-CN"/>
            </w:rPr>
            <w:t>1.1</w:t>
          </w:r>
          <w:r>
            <w:rPr>
              <w:rFonts w:hint="eastAsia"/>
            </w:rPr>
            <w:t>营业执照</w:t>
          </w:r>
          <w:r>
            <w:tab/>
          </w:r>
          <w:r>
            <w:fldChar w:fldCharType="begin"/>
          </w:r>
          <w:r>
            <w:instrText xml:space="preserve"> PAGEREF _Toc2749 \h </w:instrText>
          </w:r>
          <w:r>
            <w:fldChar w:fldCharType="separate"/>
          </w:r>
          <w:r>
            <w:t>6</w:t>
          </w:r>
          <w:r>
            <w:fldChar w:fldCharType="end"/>
          </w:r>
          <w:r>
            <w:fldChar w:fldCharType="end"/>
          </w:r>
        </w:p>
        <w:p w14:paraId="234E1257">
          <w:pPr>
            <w:pStyle w:val="7"/>
            <w:tabs>
              <w:tab w:val="right" w:leader="dot" w:pos="8306"/>
            </w:tabs>
          </w:pPr>
          <w:r>
            <w:fldChar w:fldCharType="begin"/>
          </w:r>
          <w:r>
            <w:instrText xml:space="preserve"> HYPERLINK \l _Toc14816 </w:instrText>
          </w:r>
          <w:r>
            <w:fldChar w:fldCharType="separate"/>
          </w:r>
          <w:r>
            <w:rPr>
              <w:rFonts w:hint="eastAsia"/>
              <w:lang w:val="en-US" w:eastAsia="zh-CN"/>
            </w:rPr>
            <w:t>1.1</w:t>
          </w:r>
          <w:r>
            <w:rPr>
              <w:rFonts w:hint="eastAsia"/>
              <w:lang w:eastAsia="zh-CN"/>
            </w:rPr>
            <w:t>法定代表人授权书</w:t>
          </w:r>
          <w:r>
            <w:tab/>
          </w:r>
          <w:r>
            <w:fldChar w:fldCharType="begin"/>
          </w:r>
          <w:r>
            <w:instrText xml:space="preserve"> PAGEREF _Toc14816 \h </w:instrText>
          </w:r>
          <w:r>
            <w:fldChar w:fldCharType="separate"/>
          </w:r>
          <w:r>
            <w:t>6</w:t>
          </w:r>
          <w:r>
            <w:fldChar w:fldCharType="end"/>
          </w:r>
          <w:r>
            <w:fldChar w:fldCharType="end"/>
          </w:r>
        </w:p>
        <w:p w14:paraId="1946EDD0">
          <w:pPr>
            <w:pStyle w:val="7"/>
            <w:tabs>
              <w:tab w:val="right" w:leader="dot" w:pos="8306"/>
            </w:tabs>
          </w:pPr>
          <w:r>
            <w:fldChar w:fldCharType="begin"/>
          </w:r>
          <w:r>
            <w:instrText xml:space="preserve"> HYPERLINK \l _Toc340 </w:instrText>
          </w:r>
          <w:r>
            <w:fldChar w:fldCharType="separate"/>
          </w:r>
          <w:r>
            <w:rPr>
              <w:rFonts w:hint="eastAsia"/>
              <w:lang w:val="en-US" w:eastAsia="zh-CN"/>
            </w:rPr>
            <w:t>1.3</w:t>
          </w:r>
          <w:r>
            <w:rPr>
              <w:rFonts w:hint="eastAsia"/>
              <w:lang w:eastAsia="zh-CN"/>
            </w:rPr>
            <w:t>法人及被授权人身份证</w:t>
          </w:r>
          <w:r>
            <w:tab/>
          </w:r>
          <w:r>
            <w:fldChar w:fldCharType="begin"/>
          </w:r>
          <w:r>
            <w:instrText xml:space="preserve"> PAGEREF _Toc340 \h </w:instrText>
          </w:r>
          <w:r>
            <w:fldChar w:fldCharType="separate"/>
          </w:r>
          <w:r>
            <w:t>6</w:t>
          </w:r>
          <w:r>
            <w:fldChar w:fldCharType="end"/>
          </w:r>
          <w:r>
            <w:fldChar w:fldCharType="end"/>
          </w:r>
        </w:p>
        <w:p w14:paraId="037403B8">
          <w:pPr>
            <w:pStyle w:val="7"/>
            <w:tabs>
              <w:tab w:val="right" w:leader="dot" w:pos="8306"/>
            </w:tabs>
          </w:pPr>
          <w:r>
            <w:fldChar w:fldCharType="begin"/>
          </w:r>
          <w:r>
            <w:instrText xml:space="preserve"> HYPERLINK \l _Toc24014 </w:instrText>
          </w:r>
          <w:r>
            <w:fldChar w:fldCharType="separate"/>
          </w:r>
          <w:r>
            <w:rPr>
              <w:rFonts w:hint="eastAsia"/>
              <w:lang w:val="en-US" w:eastAsia="zh-CN"/>
            </w:rPr>
            <w:t>1.4</w:t>
          </w:r>
          <w:r>
            <w:rPr>
              <w:rFonts w:hint="eastAsia"/>
              <w:lang w:eastAsia="zh-CN"/>
            </w:rPr>
            <w:t>公司资质</w:t>
          </w:r>
          <w:r>
            <w:tab/>
          </w:r>
          <w:r>
            <w:fldChar w:fldCharType="begin"/>
          </w:r>
          <w:r>
            <w:instrText xml:space="preserve"> PAGEREF _Toc24014 \h </w:instrText>
          </w:r>
          <w:r>
            <w:fldChar w:fldCharType="separate"/>
          </w:r>
          <w:r>
            <w:t>6</w:t>
          </w:r>
          <w:r>
            <w:fldChar w:fldCharType="end"/>
          </w:r>
          <w:r>
            <w:fldChar w:fldCharType="end"/>
          </w:r>
        </w:p>
        <w:p w14:paraId="7E37E70C">
          <w:pPr>
            <w:pStyle w:val="7"/>
            <w:tabs>
              <w:tab w:val="right" w:leader="dot" w:pos="8306"/>
            </w:tabs>
          </w:pPr>
          <w:r>
            <w:fldChar w:fldCharType="begin"/>
          </w:r>
          <w:r>
            <w:instrText xml:space="preserve"> HYPERLINK \l _Toc23436 </w:instrText>
          </w:r>
          <w:r>
            <w:fldChar w:fldCharType="separate"/>
          </w:r>
          <w:r>
            <w:rPr>
              <w:rFonts w:hint="eastAsia"/>
              <w:lang w:val="en-US" w:eastAsia="zh-CN"/>
            </w:rPr>
            <w:t>1.5软件资质</w:t>
          </w:r>
          <w:r>
            <w:tab/>
          </w:r>
          <w:r>
            <w:fldChar w:fldCharType="begin"/>
          </w:r>
          <w:r>
            <w:instrText xml:space="preserve"> PAGEREF _Toc23436 \h </w:instrText>
          </w:r>
          <w:r>
            <w:fldChar w:fldCharType="separate"/>
          </w:r>
          <w:r>
            <w:t>6</w:t>
          </w:r>
          <w:r>
            <w:fldChar w:fldCharType="end"/>
          </w:r>
          <w:r>
            <w:fldChar w:fldCharType="end"/>
          </w:r>
        </w:p>
        <w:p w14:paraId="42601C39">
          <w:pPr>
            <w:pStyle w:val="7"/>
            <w:tabs>
              <w:tab w:val="right" w:leader="dot" w:pos="8306"/>
            </w:tabs>
          </w:pPr>
          <w:r>
            <w:fldChar w:fldCharType="begin"/>
          </w:r>
          <w:r>
            <w:instrText xml:space="preserve"> HYPERLINK \l _Toc26050 </w:instrText>
          </w:r>
          <w:r>
            <w:fldChar w:fldCharType="separate"/>
          </w:r>
          <w:r>
            <w:rPr>
              <w:rFonts w:hint="eastAsia"/>
              <w:lang w:val="en-US" w:eastAsia="zh-CN"/>
            </w:rPr>
            <w:t>1.6本项目涉及</w:t>
          </w:r>
          <w:r>
            <w:rPr>
              <w:rFonts w:hint="eastAsia"/>
              <w:lang w:eastAsia="zh-CN"/>
            </w:rPr>
            <w:t>资质</w:t>
          </w:r>
          <w:r>
            <w:tab/>
          </w:r>
          <w:r>
            <w:fldChar w:fldCharType="begin"/>
          </w:r>
          <w:r>
            <w:instrText xml:space="preserve"> PAGEREF _Toc26050 \h </w:instrText>
          </w:r>
          <w:r>
            <w:fldChar w:fldCharType="separate"/>
          </w:r>
          <w:r>
            <w:t>6</w:t>
          </w:r>
          <w:r>
            <w:fldChar w:fldCharType="end"/>
          </w:r>
          <w:r>
            <w:fldChar w:fldCharType="end"/>
          </w:r>
        </w:p>
        <w:p w14:paraId="227A4843">
          <w:pPr>
            <w:pStyle w:val="7"/>
            <w:tabs>
              <w:tab w:val="right" w:leader="dot" w:pos="8306"/>
            </w:tabs>
          </w:pPr>
          <w:r>
            <w:fldChar w:fldCharType="begin"/>
          </w:r>
          <w:r>
            <w:instrText xml:space="preserve"> HYPERLINK \l _Toc17918 </w:instrText>
          </w:r>
          <w:r>
            <w:fldChar w:fldCharType="separate"/>
          </w:r>
          <w:r>
            <w:rPr>
              <w:rFonts w:hint="eastAsia"/>
              <w:lang w:val="en-US" w:eastAsia="zh-CN"/>
            </w:rPr>
            <w:t>1.7开发商委托销售授权函</w:t>
          </w:r>
          <w:r>
            <w:tab/>
          </w:r>
          <w:r>
            <w:fldChar w:fldCharType="begin"/>
          </w:r>
          <w:r>
            <w:instrText xml:space="preserve"> PAGEREF _Toc17918 \h </w:instrText>
          </w:r>
          <w:r>
            <w:fldChar w:fldCharType="separate"/>
          </w:r>
          <w:r>
            <w:t>6</w:t>
          </w:r>
          <w:r>
            <w:fldChar w:fldCharType="end"/>
          </w:r>
          <w:r>
            <w:fldChar w:fldCharType="end"/>
          </w:r>
        </w:p>
        <w:p w14:paraId="711D7541">
          <w:pPr>
            <w:pStyle w:val="6"/>
            <w:tabs>
              <w:tab w:val="right" w:leader="dot" w:pos="8306"/>
            </w:tabs>
          </w:pPr>
          <w:r>
            <w:fldChar w:fldCharType="begin"/>
          </w:r>
          <w:r>
            <w:instrText xml:space="preserve"> HYPERLINK \l _Toc19743 </w:instrText>
          </w:r>
          <w:r>
            <w:fldChar w:fldCharType="separate"/>
          </w:r>
          <w:r>
            <w:rPr>
              <w:rFonts w:hint="eastAsia"/>
              <w:lang w:val="en-US" w:eastAsia="zh-CN"/>
            </w:rPr>
            <w:t>三、项目调研情况一览汇总表</w:t>
          </w:r>
          <w:r>
            <w:tab/>
          </w:r>
          <w:r>
            <w:fldChar w:fldCharType="begin"/>
          </w:r>
          <w:r>
            <w:instrText xml:space="preserve"> PAGEREF _Toc19743 \h </w:instrText>
          </w:r>
          <w:r>
            <w:fldChar w:fldCharType="separate"/>
          </w:r>
          <w:r>
            <w:t>7</w:t>
          </w:r>
          <w:r>
            <w:fldChar w:fldCharType="end"/>
          </w:r>
          <w:r>
            <w:fldChar w:fldCharType="end"/>
          </w:r>
        </w:p>
        <w:p w14:paraId="6809E46C">
          <w:pPr>
            <w:pStyle w:val="6"/>
            <w:tabs>
              <w:tab w:val="right" w:leader="dot" w:pos="8306"/>
            </w:tabs>
          </w:pPr>
          <w:r>
            <w:fldChar w:fldCharType="begin"/>
          </w:r>
          <w:r>
            <w:instrText xml:space="preserve"> HYPERLINK \l _Toc4847 </w:instrText>
          </w:r>
          <w:r>
            <w:fldChar w:fldCharType="separate"/>
          </w:r>
          <w:r>
            <w:rPr>
              <w:rFonts w:hint="eastAsia"/>
              <w:lang w:val="en-US" w:eastAsia="zh-CN"/>
            </w:rPr>
            <w:t>四、技术及服务方案</w:t>
          </w:r>
          <w:r>
            <w:tab/>
          </w:r>
          <w:r>
            <w:fldChar w:fldCharType="begin"/>
          </w:r>
          <w:r>
            <w:instrText xml:space="preserve"> PAGEREF _Toc4847 \h </w:instrText>
          </w:r>
          <w:r>
            <w:fldChar w:fldCharType="separate"/>
          </w:r>
          <w:r>
            <w:t>8</w:t>
          </w:r>
          <w:r>
            <w:fldChar w:fldCharType="end"/>
          </w:r>
          <w:r>
            <w:fldChar w:fldCharType="end"/>
          </w:r>
        </w:p>
        <w:p w14:paraId="2301872A">
          <w:r>
            <w:fldChar w:fldCharType="end"/>
          </w:r>
        </w:p>
      </w:sdtContent>
    </w:sdt>
    <w:p w14:paraId="037126B8"/>
    <w:p w14:paraId="68F9FB6E"/>
    <w:p w14:paraId="2B81D5CF"/>
    <w:p w14:paraId="519B060E"/>
    <w:p w14:paraId="330EE632"/>
    <w:p w14:paraId="07282AD7"/>
    <w:p w14:paraId="0C1E976C"/>
    <w:p w14:paraId="28BD6951"/>
    <w:p w14:paraId="511B9B14"/>
    <w:p w14:paraId="0DACD848"/>
    <w:p w14:paraId="18F263A2"/>
    <w:p w14:paraId="302A691C">
      <w:pPr>
        <w:sectPr>
          <w:pgSz w:w="11906" w:h="16838"/>
          <w:pgMar w:top="1134" w:right="1800" w:bottom="1134" w:left="1800" w:header="851" w:footer="992" w:gutter="0"/>
          <w:cols w:space="425" w:num="1"/>
          <w:docGrid w:type="lines" w:linePitch="312" w:charSpace="0"/>
        </w:sectPr>
      </w:pPr>
    </w:p>
    <w:p w14:paraId="5444BC90">
      <w:pPr>
        <w:pStyle w:val="3"/>
        <w:keepNext/>
        <w:keepLines/>
        <w:pageBreakBefore w:val="0"/>
        <w:widowControl w:val="0"/>
        <w:numPr>
          <w:ilvl w:val="0"/>
          <w:numId w:val="3"/>
        </w:numPr>
        <w:kinsoku/>
        <w:wordWrap/>
        <w:overflowPunct/>
        <w:topLinePunct w:val="0"/>
        <w:autoSpaceDE/>
        <w:autoSpaceDN/>
        <w:bidi w:val="0"/>
        <w:adjustRightInd/>
        <w:snapToGrid/>
        <w:spacing w:before="100" w:after="100"/>
        <w:jc w:val="both"/>
        <w:textAlignment w:val="auto"/>
        <w:rPr>
          <w:rFonts w:hint="eastAsia"/>
        </w:rPr>
      </w:pPr>
      <w:bookmarkStart w:id="0" w:name="_Toc247527848"/>
      <w:bookmarkStart w:id="1" w:name="_Toc247514300"/>
      <w:bookmarkStart w:id="2" w:name="_Toc7415"/>
      <w:bookmarkStart w:id="3" w:name="_Toc427002393"/>
      <w:bookmarkStart w:id="4" w:name="_Toc144974876"/>
      <w:bookmarkStart w:id="5" w:name="_Toc152042597"/>
      <w:bookmarkStart w:id="6" w:name="_Toc14124"/>
      <w:bookmarkStart w:id="7" w:name="_Toc152045808"/>
      <w:bookmarkStart w:id="8" w:name="_Toc10065"/>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9"/>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54DB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78A00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89A3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BBD3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F604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2CFB0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7CA9D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AC28CDE">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632A59EB">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146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A4E1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1B9EF7C">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8107447">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48D92C1">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E523374">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731DDCB">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050AAE0C">
            <w:pPr>
              <w:jc w:val="center"/>
              <w:rPr>
                <w:rFonts w:hint="eastAsia" w:ascii="宋体" w:hAnsi="宋体" w:eastAsia="宋体" w:cs="宋体"/>
                <w:i w:val="0"/>
                <w:iCs w:val="0"/>
                <w:color w:val="000000"/>
                <w:sz w:val="24"/>
                <w:szCs w:val="24"/>
                <w:u w:val="none"/>
              </w:rPr>
            </w:pPr>
          </w:p>
        </w:tc>
      </w:tr>
    </w:tbl>
    <w:p w14:paraId="24CAFB7B">
      <w:pPr>
        <w:numPr>
          <w:ilvl w:val="0"/>
          <w:numId w:val="0"/>
        </w:numPr>
        <w:rPr>
          <w:rFonts w:hint="eastAsia"/>
        </w:rPr>
      </w:pPr>
    </w:p>
    <w:p w14:paraId="7E9FC630">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979"/>
      <w:bookmarkStart w:id="10" w:name="_Toc2669"/>
      <w:r>
        <w:rPr>
          <w:rFonts w:hint="eastAsia"/>
          <w:lang w:val="en-US" w:eastAsia="zh-CN"/>
        </w:rPr>
        <w:t>二、资质：</w:t>
      </w:r>
      <w:bookmarkEnd w:id="9"/>
    </w:p>
    <w:p w14:paraId="22C79A30">
      <w:pPr>
        <w:pStyle w:val="4"/>
        <w:bidi w:val="0"/>
        <w:rPr>
          <w:rFonts w:hint="eastAsia"/>
        </w:rPr>
      </w:pPr>
      <w:bookmarkStart w:id="11" w:name="_Toc2749"/>
      <w:r>
        <w:rPr>
          <w:rFonts w:hint="eastAsia"/>
          <w:lang w:val="en-US" w:eastAsia="zh-CN"/>
        </w:rPr>
        <w:t>1.1</w:t>
      </w:r>
      <w:r>
        <w:rPr>
          <w:rFonts w:hint="eastAsia"/>
        </w:rPr>
        <w:t>营业执照</w:t>
      </w:r>
      <w:bookmarkEnd w:id="10"/>
      <w:bookmarkEnd w:id="11"/>
      <w:bookmarkStart w:id="12" w:name="_Toc3036"/>
    </w:p>
    <w:p w14:paraId="3DFAF927">
      <w:pPr>
        <w:pStyle w:val="4"/>
        <w:bidi w:val="0"/>
        <w:rPr>
          <w:rFonts w:hint="eastAsia"/>
          <w:lang w:val="en-US" w:eastAsia="zh-CN"/>
        </w:rPr>
      </w:pPr>
      <w:bookmarkStart w:id="13" w:name="_Toc14816"/>
      <w:r>
        <w:rPr>
          <w:rFonts w:hint="eastAsia"/>
          <w:lang w:val="en-US" w:eastAsia="zh-CN"/>
        </w:rPr>
        <w:t>1.1</w:t>
      </w:r>
      <w:r>
        <w:rPr>
          <w:rFonts w:hint="eastAsia"/>
          <w:lang w:eastAsia="zh-CN"/>
        </w:rPr>
        <w:t>法定代表人授权书</w:t>
      </w:r>
      <w:bookmarkEnd w:id="12"/>
      <w:bookmarkEnd w:id="13"/>
    </w:p>
    <w:p w14:paraId="62B3E9EA">
      <w:pPr>
        <w:pStyle w:val="4"/>
        <w:bidi w:val="0"/>
        <w:rPr>
          <w:rFonts w:hint="eastAsia"/>
          <w:lang w:eastAsia="zh-CN"/>
        </w:rPr>
      </w:pPr>
      <w:bookmarkStart w:id="14" w:name="_Toc5131"/>
      <w:bookmarkStart w:id="15" w:name="_Toc340"/>
      <w:r>
        <w:rPr>
          <w:rFonts w:hint="eastAsia"/>
          <w:lang w:val="en-US" w:eastAsia="zh-CN"/>
        </w:rPr>
        <w:t>1.3</w:t>
      </w:r>
      <w:r>
        <w:rPr>
          <w:rFonts w:hint="eastAsia"/>
          <w:lang w:eastAsia="zh-CN"/>
        </w:rPr>
        <w:t>法人及被授权人身份证</w:t>
      </w:r>
      <w:bookmarkEnd w:id="14"/>
      <w:bookmarkEnd w:id="15"/>
    </w:p>
    <w:p w14:paraId="3CB94CED">
      <w:pPr>
        <w:pStyle w:val="4"/>
        <w:bidi w:val="0"/>
        <w:rPr>
          <w:rFonts w:hint="eastAsia"/>
          <w:lang w:eastAsia="zh-CN"/>
        </w:rPr>
      </w:pPr>
      <w:bookmarkStart w:id="16" w:name="_Toc24014"/>
      <w:bookmarkStart w:id="17" w:name="_Toc22588"/>
      <w:r>
        <w:rPr>
          <w:rFonts w:hint="eastAsia"/>
          <w:lang w:val="en-US" w:eastAsia="zh-CN"/>
        </w:rPr>
        <w:t>1.4</w:t>
      </w:r>
      <w:r>
        <w:rPr>
          <w:rFonts w:hint="eastAsia"/>
          <w:lang w:eastAsia="zh-CN"/>
        </w:rPr>
        <w:t>公司资质</w:t>
      </w:r>
      <w:bookmarkEnd w:id="16"/>
      <w:bookmarkEnd w:id="17"/>
    </w:p>
    <w:p w14:paraId="5AD933B4">
      <w:pPr>
        <w:pStyle w:val="4"/>
        <w:bidi w:val="0"/>
        <w:rPr>
          <w:rFonts w:hint="default"/>
          <w:lang w:val="en-US" w:eastAsia="zh-CN"/>
        </w:rPr>
      </w:pPr>
      <w:bookmarkStart w:id="18" w:name="_Toc23436"/>
      <w:r>
        <w:rPr>
          <w:rFonts w:hint="eastAsia"/>
          <w:lang w:val="en-US" w:eastAsia="zh-CN"/>
        </w:rPr>
        <w:t>1.5软件资质</w:t>
      </w:r>
      <w:bookmarkEnd w:id="18"/>
    </w:p>
    <w:p w14:paraId="069100F1">
      <w:pPr>
        <w:pStyle w:val="4"/>
        <w:bidi w:val="0"/>
        <w:rPr>
          <w:rFonts w:hint="eastAsia"/>
          <w:lang w:eastAsia="zh-CN"/>
        </w:rPr>
      </w:pPr>
      <w:bookmarkStart w:id="19" w:name="_Toc11995"/>
      <w:bookmarkStart w:id="20" w:name="_Toc26050"/>
      <w:r>
        <w:rPr>
          <w:rFonts w:hint="eastAsia"/>
          <w:lang w:val="en-US" w:eastAsia="zh-CN"/>
        </w:rPr>
        <w:t>1.6本项目涉及</w:t>
      </w:r>
      <w:r>
        <w:rPr>
          <w:rFonts w:hint="eastAsia"/>
          <w:lang w:eastAsia="zh-CN"/>
        </w:rPr>
        <w:t>资质</w:t>
      </w:r>
      <w:bookmarkEnd w:id="19"/>
      <w:bookmarkEnd w:id="20"/>
    </w:p>
    <w:p w14:paraId="30C95180">
      <w:pPr>
        <w:pStyle w:val="4"/>
        <w:bidi w:val="0"/>
        <w:rPr>
          <w:rFonts w:hint="eastAsia" w:ascii="宋体" w:hAnsi="宋体" w:eastAsia="宋体" w:cs="宋体"/>
          <w:sz w:val="24"/>
          <w:szCs w:val="24"/>
        </w:rPr>
      </w:pPr>
      <w:bookmarkStart w:id="21" w:name="_Toc17918"/>
      <w:bookmarkStart w:id="22" w:name="_Toc21787"/>
      <w:r>
        <w:rPr>
          <w:rFonts w:hint="eastAsia"/>
          <w:b/>
          <w:lang w:val="en-US" w:eastAsia="zh-CN"/>
        </w:rPr>
        <w:t>1.7开发商委托销售授权函</w:t>
      </w:r>
      <w:bookmarkEnd w:id="21"/>
      <w:bookmarkEnd w:id="22"/>
    </w:p>
    <w:p w14:paraId="4538FAB6">
      <w:pPr>
        <w:pStyle w:val="2"/>
        <w:rPr>
          <w:rFonts w:hint="eastAsia" w:ascii="宋体" w:hAnsi="宋体" w:eastAsia="宋体" w:cs="宋体"/>
          <w:sz w:val="24"/>
          <w:szCs w:val="24"/>
        </w:rPr>
      </w:pPr>
    </w:p>
    <w:p w14:paraId="6757A1BB">
      <w:pPr>
        <w:pStyle w:val="2"/>
        <w:rPr>
          <w:rFonts w:hint="eastAsia" w:ascii="宋体" w:hAnsi="宋体" w:eastAsia="宋体" w:cs="宋体"/>
          <w:sz w:val="24"/>
          <w:szCs w:val="24"/>
        </w:rPr>
      </w:pPr>
    </w:p>
    <w:p w14:paraId="426CAFC5">
      <w:pPr>
        <w:pStyle w:val="2"/>
        <w:rPr>
          <w:rFonts w:hint="eastAsia" w:ascii="宋体" w:hAnsi="宋体" w:eastAsia="宋体" w:cs="宋体"/>
          <w:sz w:val="24"/>
          <w:szCs w:val="24"/>
        </w:rPr>
      </w:pPr>
    </w:p>
    <w:p w14:paraId="1940B592">
      <w:pPr>
        <w:pStyle w:val="2"/>
        <w:rPr>
          <w:rFonts w:hint="eastAsia" w:ascii="宋体" w:hAnsi="宋体" w:eastAsia="宋体" w:cs="宋体"/>
          <w:sz w:val="24"/>
          <w:szCs w:val="24"/>
        </w:rPr>
      </w:pPr>
    </w:p>
    <w:p w14:paraId="1FDBEBCE">
      <w:pPr>
        <w:pStyle w:val="2"/>
        <w:rPr>
          <w:rFonts w:hint="eastAsia" w:ascii="宋体" w:hAnsi="宋体" w:eastAsia="宋体" w:cs="宋体"/>
          <w:sz w:val="24"/>
          <w:szCs w:val="24"/>
        </w:rPr>
      </w:pPr>
    </w:p>
    <w:p w14:paraId="102B8BDB">
      <w:pPr>
        <w:pStyle w:val="2"/>
        <w:rPr>
          <w:rFonts w:hint="eastAsia" w:ascii="宋体" w:hAnsi="宋体" w:eastAsia="宋体" w:cs="宋体"/>
          <w:sz w:val="24"/>
          <w:szCs w:val="24"/>
        </w:rPr>
      </w:pPr>
    </w:p>
    <w:p w14:paraId="158566FD">
      <w:pPr>
        <w:rPr>
          <w:rFonts w:hint="eastAsia"/>
          <w:lang w:val="en-US" w:eastAsia="zh-CN"/>
        </w:rPr>
        <w:sectPr>
          <w:pgSz w:w="11906" w:h="16838"/>
          <w:pgMar w:top="1440" w:right="1800" w:bottom="1440" w:left="1800" w:header="851" w:footer="992" w:gutter="0"/>
          <w:cols w:space="425" w:num="1"/>
          <w:docGrid w:type="lines" w:linePitch="312" w:charSpace="0"/>
        </w:sectPr>
      </w:pPr>
    </w:p>
    <w:p w14:paraId="695228AC">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19743"/>
      <w:r>
        <w:rPr>
          <w:rFonts w:hint="eastAsia"/>
          <w:lang w:val="en-US" w:eastAsia="zh-CN"/>
        </w:rPr>
        <w:t>三、项目调研情况一览汇总表</w:t>
      </w:r>
      <w:bookmarkEnd w:id="23"/>
    </w:p>
    <w:p w14:paraId="231DA59D">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项目名称：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采购品目分类名称：</w:t>
      </w:r>
    </w:p>
    <w:p w14:paraId="334FC93D">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供应商名称：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联系人及联系电话：</w:t>
      </w:r>
    </w:p>
    <w:tbl>
      <w:tblPr>
        <w:tblStyle w:val="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2211"/>
        <w:gridCol w:w="2584"/>
        <w:gridCol w:w="1848"/>
        <w:gridCol w:w="3096"/>
        <w:gridCol w:w="2070"/>
        <w:gridCol w:w="1848"/>
      </w:tblGrid>
      <w:tr w14:paraId="52D7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jc w:val="center"/>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35224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14:paraId="728E9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14:paraId="5A7C7F35">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75DC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14:paraId="477E6AC6">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35EB4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14:paraId="5F7BE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17DB1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服务期</w:t>
            </w:r>
          </w:p>
          <w:p w14:paraId="3FED0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181BE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服务内容</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8A80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r>
      <w:tr w14:paraId="15CA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7" w:hRule="atLeast"/>
          <w:jc w:val="center"/>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04D8D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14:paraId="05349EB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8FE38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65841FA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4309513A">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kern w:val="0"/>
                <w:sz w:val="20"/>
                <w:szCs w:val="20"/>
                <w:lang w:val="en-US" w:eastAsia="zh-CN" w:bidi="ar-SA"/>
              </w:rPr>
              <w:t>1年：XXX元，3年：XXX元</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0565F5C0">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FF0000"/>
                <w:kern w:val="0"/>
                <w:sz w:val="20"/>
                <w:szCs w:val="20"/>
                <w:lang w:val="en-US" w:eastAsia="zh-CN" w:bidi="ar-SA"/>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266E308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r>
      <w:tr w14:paraId="6042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20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7CB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5E02352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78334C6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5FCA878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303A990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14:paraId="624EC84E">
      <w:pPr>
        <w:rPr>
          <w:rFonts w:hint="eastAsia"/>
          <w:lang w:val="en-US" w:eastAsia="zh-CN"/>
        </w:rPr>
      </w:pPr>
    </w:p>
    <w:p w14:paraId="0895060C">
      <w:pPr>
        <w:pStyle w:val="2"/>
        <w:rPr>
          <w:rFonts w:hint="eastAsia"/>
          <w:lang w:val="en-US" w:eastAsia="zh-CN"/>
        </w:rPr>
      </w:pPr>
    </w:p>
    <w:p w14:paraId="2B4AF777">
      <w:pPr>
        <w:pStyle w:val="2"/>
        <w:rPr>
          <w:rFonts w:hint="eastAsia"/>
          <w:lang w:val="en-US" w:eastAsia="zh-CN"/>
        </w:rPr>
      </w:pPr>
    </w:p>
    <w:p w14:paraId="2A963862">
      <w:pPr>
        <w:pStyle w:val="2"/>
        <w:rPr>
          <w:rFonts w:hint="eastAsia"/>
          <w:lang w:val="en-US" w:eastAsia="zh-CN"/>
        </w:rPr>
      </w:pPr>
    </w:p>
    <w:p w14:paraId="787B7465">
      <w:pPr>
        <w:pStyle w:val="2"/>
        <w:rPr>
          <w:rFonts w:hint="eastAsia"/>
          <w:lang w:val="en-US" w:eastAsia="zh-CN"/>
        </w:rPr>
      </w:pPr>
    </w:p>
    <w:p w14:paraId="0667F226">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217926D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24" w:name="_Toc4847"/>
      <w:r>
        <w:rPr>
          <w:rFonts w:hint="eastAsia"/>
          <w:lang w:val="en-US" w:eastAsia="zh-CN"/>
        </w:rPr>
        <w:t>四、技术及服务方案</w:t>
      </w:r>
      <w:bookmarkEnd w:id="24"/>
    </w:p>
    <w:p w14:paraId="2CDEBBFB">
      <w:pPr>
        <w:rPr>
          <w:rFonts w:hint="eastAsia"/>
          <w:lang w:val="en-US" w:eastAsia="zh-CN"/>
        </w:rPr>
      </w:pPr>
    </w:p>
    <w:p w14:paraId="2CF8AB9E">
      <w:pPr>
        <w:rPr>
          <w:rFonts w:hint="eastAsia"/>
          <w:lang w:val="en-US" w:eastAsia="zh-CN"/>
        </w:rPr>
      </w:pPr>
    </w:p>
    <w:p w14:paraId="39091DE2">
      <w:pPr>
        <w:rPr>
          <w:rFonts w:hint="default"/>
          <w:lang w:val="en-US" w:eastAsia="zh-CN"/>
        </w:rPr>
      </w:pPr>
    </w:p>
    <w:p w14:paraId="08C76B78"/>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6C374"/>
    <w:multiLevelType w:val="singleLevel"/>
    <w:tmpl w:val="D8F6C374"/>
    <w:lvl w:ilvl="0" w:tentative="0">
      <w:start w:val="3"/>
      <w:numFmt w:val="decimal"/>
      <w:lvlText w:val="%1."/>
      <w:lvlJc w:val="left"/>
      <w:pPr>
        <w:tabs>
          <w:tab w:val="left" w:pos="312"/>
        </w:tabs>
      </w:pPr>
    </w:lvl>
  </w:abstractNum>
  <w:abstractNum w:abstractNumId="1">
    <w:nsid w:val="0BC9454C"/>
    <w:multiLevelType w:val="singleLevel"/>
    <w:tmpl w:val="0BC9454C"/>
    <w:lvl w:ilvl="0" w:tentative="0">
      <w:start w:val="1"/>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407BA"/>
    <w:rsid w:val="0C73477F"/>
    <w:rsid w:val="12BD7243"/>
    <w:rsid w:val="139407BA"/>
    <w:rsid w:val="15707782"/>
    <w:rsid w:val="16810AFC"/>
    <w:rsid w:val="177C6937"/>
    <w:rsid w:val="30312747"/>
    <w:rsid w:val="457E42D8"/>
    <w:rsid w:val="46A615E2"/>
    <w:rsid w:val="53005315"/>
    <w:rsid w:val="63F92499"/>
    <w:rsid w:val="64E23781"/>
    <w:rsid w:val="7AE4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toc 1"/>
    <w:basedOn w:val="1"/>
    <w:next w:val="1"/>
    <w:qFormat/>
    <w:uiPriority w:val="39"/>
  </w:style>
  <w:style w:type="paragraph" w:styleId="7">
    <w:name w:val="toc 2"/>
    <w:basedOn w:val="1"/>
    <w:next w:val="1"/>
    <w:qFormat/>
    <w:uiPriority w:val="0"/>
    <w:pPr>
      <w:ind w:left="420" w:leftChars="200"/>
    </w:pPr>
  </w:style>
  <w:style w:type="paragraph" w:styleId="8">
    <w:name w:val="Body Text First Indent"/>
    <w:basedOn w:val="5"/>
    <w:next w:val="1"/>
    <w:qFormat/>
    <w:uiPriority w:val="99"/>
    <w:pPr>
      <w:spacing w:after="120"/>
      <w:ind w:firstLine="420" w:firstLineChars="100"/>
    </w:pPr>
  </w:style>
  <w:style w:type="character" w:styleId="11">
    <w:name w:val="Hyperlink"/>
    <w:basedOn w:val="10"/>
    <w:qFormat/>
    <w:uiPriority w:val="99"/>
    <w:rPr>
      <w:rFonts w:cs="Times New Roman"/>
      <w:color w:val="0000FF"/>
      <w:u w:val="single"/>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3">
    <w:name w:val="Other|1"/>
    <w:basedOn w:val="1"/>
    <w:qFormat/>
    <w:uiPriority w:val="99"/>
    <w:pPr>
      <w:spacing w:line="276" w:lineRule="auto"/>
    </w:pPr>
    <w:rPr>
      <w:b/>
      <w:bCs/>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2073</Words>
  <Characters>2223</Characters>
  <Lines>0</Lines>
  <Paragraphs>0</Paragraphs>
  <TotalTime>0</TotalTime>
  <ScaleCrop>false</ScaleCrop>
  <LinksUpToDate>false</LinksUpToDate>
  <CharactersWithSpaces>2318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2025-05-27T08:25:00Z</dcterms:created>
  <dc:creator>Ratio</dc:creator>
  <cp:lastModifiedBy>Ratio</cp:lastModifiedBy>
  <dcterms:modified xsi:type="dcterms:W3CDTF">2025-05-29T05:31:26Z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88EA64CBAA784A5BBAC141744C58EFFF_11</vt:lpwstr>
  </property>
  <property fmtid="{D5CDD505-2E9C-101B-9397-08002B2CF9AE}" pid="4" name="KSOTemplateDocerSaveRecord">
    <vt:lpwstr>eyJoZGlkIjoiYTEyYTgxOGQ1ZjEyYzQwY2MzYmQ2Y2NkN2Q4NjcyOWIiLCJ1c2VySWQiOiIzMDM3MTQyMzUifQ==</vt:lpwstr>
  </property>
</Properties>
</file>