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outlineLvl w:val="0"/>
        <w:rPr>
          <w:rFonts w:ascii="宋体" w:hAnsi="宋体" w:cs="宋体"/>
          <w:b/>
          <w:bCs/>
          <w:spacing w:val="-12"/>
          <w:sz w:val="48"/>
          <w:szCs w:val="48"/>
        </w:rPr>
      </w:pPr>
      <w:r>
        <w:rPr>
          <w:rFonts w:hint="eastAsia" w:ascii="宋体" w:hAnsi="宋体" w:cs="宋体"/>
          <w:b/>
          <w:bCs/>
          <w:spacing w:val="-12"/>
          <w:sz w:val="48"/>
          <w:szCs w:val="48"/>
        </w:rPr>
        <w:t>资阳市</w:t>
      </w:r>
      <w:r>
        <w:rPr>
          <w:rFonts w:ascii="宋体" w:hAnsi="宋体" w:cs="宋体"/>
          <w:b/>
          <w:bCs/>
          <w:spacing w:val="-12"/>
          <w:sz w:val="48"/>
          <w:szCs w:val="48"/>
        </w:rPr>
        <w:t>中心医院</w:t>
      </w:r>
      <w:bookmarkStart w:id="0" w:name="OLE_LINK20"/>
      <w:bookmarkStart w:id="1" w:name="OLE_LINK18"/>
      <w:r>
        <w:rPr>
          <w:rFonts w:hint="eastAsia" w:ascii="宋体" w:hAnsi="宋体" w:cs="宋体"/>
          <w:b/>
          <w:bCs/>
          <w:spacing w:val="-12"/>
          <w:sz w:val="48"/>
          <w:szCs w:val="48"/>
          <w:lang w:val="en-US" w:eastAsia="zh-CN"/>
        </w:rPr>
        <w:t>重症医学远程管理平台与业务系统接口对接服务采购项目</w:t>
      </w:r>
    </w:p>
    <w:bookmarkEnd w:id="0"/>
    <w:p>
      <w:pPr>
        <w:spacing w:line="360" w:lineRule="auto"/>
        <w:jc w:val="center"/>
        <w:rPr>
          <w:rFonts w:ascii="宋体" w:hAnsi="宋体" w:cs="宋体"/>
          <w:b/>
          <w:bCs/>
          <w:spacing w:val="42"/>
          <w:sz w:val="72"/>
          <w:szCs w:val="72"/>
        </w:rPr>
      </w:pPr>
    </w:p>
    <w:bookmarkEnd w:id="1"/>
    <w:p>
      <w:pPr>
        <w:spacing w:line="360" w:lineRule="auto"/>
        <w:jc w:val="center"/>
        <w:rPr>
          <w:rFonts w:ascii="宋体" w:hAnsi="宋体" w:cs="宋体"/>
          <w:b/>
          <w:bCs/>
          <w:spacing w:val="42"/>
          <w:sz w:val="72"/>
          <w:szCs w:val="72"/>
        </w:rPr>
      </w:pPr>
    </w:p>
    <w:p>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outlineLvl w:val="0"/>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四</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2" w:name="_Toc180296779"/>
      <w:bookmarkStart w:id="3" w:name="_Toc173895652"/>
      <w:bookmarkStart w:id="4" w:name="_Toc211679176"/>
      <w:bookmarkStart w:id="5" w:name="_Toc173895837"/>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r>
        <w:rPr>
          <w:rFonts w:hint="eastAsia" w:ascii="宋体" w:hAnsi="宋体" w:cs="宋体"/>
          <w:b/>
          <w:bCs/>
          <w:kern w:val="0"/>
          <w:u w:val="single"/>
          <w:lang w:val="en-US" w:eastAsia="zh-CN"/>
        </w:rPr>
        <w:t>资阳市中心医院重症医学远程管理平台与业务系统接口对接服务</w:t>
      </w:r>
      <w:r>
        <w:rPr>
          <w:rFonts w:hint="eastAsia" w:ascii="宋体" w:hAnsi="宋体" w:cs="宋体"/>
          <w:b/>
          <w:bCs/>
          <w:kern w:val="0"/>
          <w:u w:val="none"/>
          <w:lang w:val="en-US" w:eastAsia="zh-CN"/>
        </w:rPr>
        <w:t>进行</w:t>
      </w:r>
      <w:r>
        <w:rPr>
          <w:rFonts w:hint="eastAsia" w:ascii="宋体" w:hAnsi="宋体" w:cs="宋体"/>
          <w:b/>
          <w:bCs/>
          <w:spacing w:val="-4"/>
          <w:kern w:val="0"/>
        </w:rPr>
        <w:t>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cs="宋体"/>
          <w:b/>
          <w:bCs/>
          <w:kern w:val="0"/>
          <w:u w:val="single"/>
        </w:rPr>
      </w:pPr>
      <w:r>
        <w:rPr>
          <w:rFonts w:hint="eastAsia" w:ascii="宋体" w:hAnsi="宋体" w:cs="宋体"/>
          <w:b/>
          <w:bCs/>
          <w:kern w:val="0"/>
        </w:rPr>
        <w:t>二、比选项目：</w:t>
      </w:r>
      <w:bookmarkStart w:id="6" w:name="OLE_LINK4"/>
      <w:r>
        <w:rPr>
          <w:rFonts w:hint="eastAsia" w:ascii="宋体" w:hAnsi="宋体" w:cs="宋体"/>
          <w:b/>
          <w:bCs/>
          <w:kern w:val="0"/>
          <w:u w:val="single"/>
          <w:lang w:val="en-US" w:eastAsia="zh-CN"/>
        </w:rPr>
        <w:t>资阳市中心医院重症医学远程管理平台与业务系统接口对接服务采购项目</w:t>
      </w:r>
    </w:p>
    <w:bookmarkEnd w:id="6"/>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bookmarkStart w:id="7" w:name="OLE_LINK3"/>
      <w:r>
        <w:rPr>
          <w:rFonts w:hint="eastAsia" w:hAnsi="宋体"/>
          <w:kern w:val="0"/>
          <w:lang w:val="en-US" w:eastAsia="zh-CN"/>
        </w:rPr>
        <w:t>资阳市中心医院重症医学远程管理平台与业务系统接口对接服务</w:t>
      </w:r>
      <w:bookmarkEnd w:id="7"/>
      <w:r>
        <w:rPr>
          <w:rFonts w:hint="eastAsia" w:ascii="宋体" w:hAnsi="宋体" w:cs="宋体"/>
          <w:spacing w:val="-4"/>
        </w:rPr>
        <w:t>。</w:t>
      </w:r>
      <w:r>
        <w:rPr>
          <w:rFonts w:hint="eastAsia" w:hAnsi="宋体"/>
          <w:kern w:val="0"/>
        </w:rPr>
        <w:t>本项目最高限价</w:t>
      </w:r>
      <w:r>
        <w:rPr>
          <w:rFonts w:hint="eastAsia" w:hAnsi="宋体"/>
          <w:kern w:val="0"/>
          <w:lang w:val="en-US" w:eastAsia="zh-CN"/>
        </w:rPr>
        <w:t>35000</w:t>
      </w:r>
      <w:r>
        <w:t>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8" w:name="PO_标书售卖开始时间_1"/>
      <w:r>
        <w:rPr>
          <w:rFonts w:hint="eastAsia" w:ascii="宋体" w:hAnsi="宋体" w:cs="宋体"/>
        </w:rPr>
        <w:t>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1</w:t>
      </w:r>
      <w:r>
        <w:rPr>
          <w:rFonts w:hint="eastAsia" w:ascii="宋体" w:hAnsi="宋体" w:cs="宋体"/>
        </w:rPr>
        <w:t>日</w:t>
      </w:r>
      <w:bookmarkEnd w:id="8"/>
      <w:r>
        <w:rPr>
          <w:rFonts w:hint="eastAsia" w:ascii="宋体" w:hAnsi="宋体" w:cs="宋体"/>
        </w:rPr>
        <w:t>至</w:t>
      </w:r>
      <w:bookmarkStart w:id="9" w:name="PO_标书售卖结束时间_1"/>
      <w:r>
        <w:rPr>
          <w:rFonts w:hint="eastAsia" w:ascii="宋体" w:hAnsi="宋体" w:cs="宋体"/>
        </w:rPr>
        <w:t>202</w:t>
      </w:r>
      <w:r>
        <w:rPr>
          <w:rFonts w:hint="eastAsia" w:ascii="宋体" w:hAnsi="宋体" w:cs="宋体"/>
          <w:lang w:val="en-US" w:eastAsia="zh-CN"/>
        </w:rPr>
        <w:t>5</w:t>
      </w:r>
      <w:r>
        <w:rPr>
          <w:rFonts w:hint="eastAsia" w:ascii="宋体" w:hAnsi="宋体" w:cs="宋体"/>
        </w:rPr>
        <w:t>年</w:t>
      </w:r>
      <w:bookmarkEnd w:id="9"/>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7</w:t>
      </w:r>
      <w:r>
        <w:rPr>
          <w:rFonts w:hint="eastAsia" w:ascii="宋体" w:hAnsi="宋体" w:cs="宋体"/>
        </w:rPr>
        <w:t>日，</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10" w:name="OLE_LINK2"/>
      <w:bookmarkStart w:id="11" w:name="OLE_LINK1"/>
      <w:r>
        <w:rPr>
          <w:rFonts w:hint="eastAsia" w:ascii="宋体" w:hAnsi="宋体" w:cs="宋体"/>
          <w:b/>
          <w:bCs/>
          <w:spacing w:val="-6"/>
          <w:kern w:val="0"/>
        </w:rPr>
        <w:t>递交比选申请文件截止时间</w:t>
      </w:r>
      <w:bookmarkEnd w:id="10"/>
      <w:bookmarkEnd w:id="11"/>
      <w:r>
        <w:rPr>
          <w:rFonts w:hint="eastAsia" w:ascii="宋体" w:hAnsi="宋体" w:cs="宋体"/>
          <w:b/>
          <w:bCs/>
          <w:spacing w:val="-6"/>
          <w:kern w:val="0"/>
        </w:rPr>
        <w:t>及评审时间：</w:t>
      </w:r>
      <w:r>
        <w:rPr>
          <w:rFonts w:hint="eastAsia" w:ascii="宋体" w:hAnsi="宋体" w:cs="宋体"/>
        </w:rPr>
        <w:t>202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4</w:t>
      </w:r>
      <w:r>
        <w:rPr>
          <w:rFonts w:hint="eastAsia" w:ascii="宋体" w:hAnsi="宋体" w:cs="宋体"/>
        </w:rPr>
        <w:t>月</w:t>
      </w:r>
      <w:r>
        <w:rPr>
          <w:rFonts w:hint="eastAsia" w:ascii="宋体" w:hAnsi="宋体" w:cs="宋体"/>
          <w:lang w:val="en-US" w:eastAsia="zh-CN"/>
        </w:rPr>
        <w:t>8</w:t>
      </w:r>
      <w:r>
        <w:rPr>
          <w:rFonts w:hint="eastAsia" w:ascii="宋体" w:hAnsi="宋体" w:cs="宋体"/>
        </w:rPr>
        <w:t>日</w:t>
      </w:r>
      <w:r>
        <w:rPr>
          <w:rFonts w:hint="eastAsia" w:ascii="宋体" w:hAnsi="宋体" w:cs="宋体"/>
          <w:lang w:val="en-US" w:eastAsia="zh-CN"/>
        </w:rPr>
        <w:t xml:space="preserve"> 14：00</w:t>
      </w:r>
      <w:r>
        <w:rPr>
          <w:rFonts w:hint="eastAsia" w:ascii="宋体" w:hAnsi="宋体" w:cs="宋体"/>
          <w:spacing w:val="-6"/>
          <w:kern w:val="0"/>
          <w:lang w:val="en-US" w:eastAsia="zh-CN"/>
        </w:rPr>
        <w:t>（</w:t>
      </w:r>
      <w:r>
        <w:rPr>
          <w:rFonts w:hint="eastAsia" w:ascii="宋体" w:hAnsi="宋体" w:cs="宋体"/>
          <w:spacing w:val="-6"/>
          <w:kern w:val="0"/>
        </w:rPr>
        <w:t>北京时间），供应商应于递交比选申请文件截止时间之前当日将比选申请文件送达比选地点，逾期送达比选申请文件将被拒绝。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396" w:firstLineChars="200"/>
        <w:rPr>
          <w:rFonts w:hint="eastAsia" w:ascii="宋体" w:hAnsi="宋体" w:cs="宋体"/>
          <w:b/>
          <w:bCs/>
          <w:spacing w:val="-6"/>
          <w:kern w:val="0"/>
        </w:rPr>
      </w:pPr>
      <w:r>
        <w:rPr>
          <w:rFonts w:hint="eastAsia" w:ascii="宋体" w:hAnsi="宋体" w:cs="宋体"/>
          <w:b/>
          <w:bCs/>
          <w:spacing w:val="-6"/>
          <w:kern w:val="0"/>
        </w:rPr>
        <w:t>十、公告发布：本比选邀请在资阳市中心医院官网以公告形式发布。</w:t>
      </w:r>
    </w:p>
    <w:p>
      <w:pPr>
        <w:spacing w:line="360" w:lineRule="auto"/>
        <w:ind w:firstLine="396" w:firstLineChars="200"/>
        <w:rPr>
          <w:rFonts w:ascii="宋体"/>
          <w:b/>
          <w:bCs/>
          <w:kern w:val="0"/>
        </w:rPr>
      </w:pPr>
      <w:r>
        <w:rPr>
          <w:rFonts w:hint="eastAsia" w:ascii="宋体" w:hAnsi="宋体" w:cs="宋体"/>
          <w:b/>
          <w:bCs/>
          <w:spacing w:val="-6"/>
          <w:kern w:val="0"/>
        </w:rPr>
        <w:t>十二</w:t>
      </w:r>
      <w:r>
        <w:rPr>
          <w:rFonts w:hint="eastAsia" w:ascii="宋体" w:hAnsi="宋体" w:cs="宋体"/>
          <w:b/>
          <w:bCs/>
          <w:kern w:val="0"/>
        </w:rPr>
        <w:t>、联系方式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2"/>
      <w:bookmarkEnd w:id="3"/>
      <w:bookmarkEnd w:id="4"/>
      <w:bookmarkEnd w:id="5"/>
      <w:bookmarkStart w:id="12" w:name="_Toc180296780"/>
      <w:bookmarkStart w:id="13" w:name="_Toc211679177"/>
      <w:bookmarkStart w:id="14" w:name="_Toc173895838"/>
      <w:bookmarkStart w:id="15" w:name="_Toc173895653"/>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6" w:name="_Toc180296782"/>
      <w:bookmarkStart w:id="17" w:name="_Toc173895655"/>
      <w:bookmarkStart w:id="18" w:name="_Toc173895840"/>
      <w:bookmarkStart w:id="19" w:name="_Toc211679179"/>
      <w:r>
        <w:rPr>
          <w:rFonts w:hint="eastAsia" w:ascii="宋体" w:hAnsi="宋体" w:cs="宋体"/>
          <w:kern w:val="0"/>
        </w:rPr>
        <w:t xml:space="preserve"> 供应商资格证明</w:t>
      </w:r>
      <w:bookmarkEnd w:id="16"/>
      <w:bookmarkEnd w:id="17"/>
      <w:bookmarkEnd w:id="18"/>
      <w:bookmarkEnd w:id="19"/>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pStyle w:val="2"/>
        <w:ind w:firstLine="420" w:firstLineChars="200"/>
        <w:rPr>
          <w:rFonts w:hint="eastAsia" w:eastAsia="宋体"/>
          <w:lang w:val="en-US" w:eastAsia="zh-CN"/>
        </w:rPr>
      </w:pPr>
      <w:r>
        <w:rPr>
          <w:rFonts w:hint="eastAsia" w:ascii="宋体" w:hAnsi="宋体" w:cs="宋体"/>
          <w:kern w:val="0"/>
          <w:lang w:val="en-US" w:eastAsia="zh-CN"/>
        </w:rPr>
        <w:t xml:space="preserve">文件十 </w:t>
      </w:r>
      <w:r>
        <w:rPr>
          <w:rFonts w:hint="eastAsia" w:ascii="宋体" w:hAnsi="宋体" w:cs="宋体"/>
          <w:kern w:val="0"/>
        </w:rPr>
        <w:t>其他材料</w:t>
      </w:r>
      <w:r>
        <w:rPr>
          <w:rFonts w:hint="eastAsia" w:ascii="宋体" w:hAnsi="宋体" w:cs="宋体"/>
          <w:kern w:val="0"/>
          <w:lang w:eastAsia="zh-CN"/>
        </w:rPr>
        <w:t>（</w:t>
      </w:r>
      <w:r>
        <w:rPr>
          <w:rFonts w:hint="eastAsia" w:ascii="宋体" w:hAnsi="宋体" w:cs="宋体"/>
          <w:kern w:val="0"/>
          <w:lang w:val="en-US" w:eastAsia="zh-CN"/>
        </w:rPr>
        <w:t>如有</w:t>
      </w:r>
      <w:r>
        <w:rPr>
          <w:rFonts w:hint="eastAsia" w:ascii="宋体" w:hAnsi="宋体" w:cs="宋体"/>
          <w:kern w:val="0"/>
          <w:lang w:eastAsia="zh-CN"/>
        </w:rPr>
        <w:t>）</w:t>
      </w:r>
    </w:p>
    <w:p>
      <w:pPr>
        <w:tabs>
          <w:tab w:val="left" w:pos="720"/>
          <w:tab w:val="left" w:pos="1140"/>
        </w:tabs>
        <w:spacing w:line="360" w:lineRule="auto"/>
        <w:ind w:firstLine="420" w:firstLineChars="200"/>
        <w:rPr>
          <w:rFonts w:ascii="宋体"/>
          <w:kern w:val="0"/>
        </w:rPr>
      </w:pPr>
    </w:p>
    <w:p>
      <w:pPr>
        <w:pStyle w:val="2"/>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2.3、密封袋按“比选文件”内容，在正面载明：“2024年**月**日**：**前请勿启封”之字样；密封袋供应商名称及密封条处须加盖供应商鲜章。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20" w:name="_Toc210211733"/>
      <w:bookmarkStart w:id="21" w:name="_Toc177466666"/>
      <w:bookmarkStart w:id="22" w:name="_Toc115628325"/>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w:t>
            </w:r>
            <w:r>
              <w:rPr>
                <w:rFonts w:hint="eastAsia" w:ascii="宋体" w:hAnsi="宋体" w:cs="仿宋"/>
                <w:lang w:eastAsia="zh-CN"/>
              </w:rPr>
              <w:t>成交供应商</w:t>
            </w:r>
            <w:r>
              <w:rPr>
                <w:rFonts w:hint="eastAsia" w:ascii="宋体" w:hAnsi="宋体" w:cs="仿宋"/>
              </w:rPr>
              <w:t>。</w:t>
            </w:r>
          </w:p>
        </w:tc>
      </w:tr>
    </w:tbl>
    <w:p>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.2非单一产品采购项目中，多家供应商提供的部分或所有核心产品品牌相同的，视为提供相同品牌产品。本项目核心产品为：</w:t>
      </w:r>
      <w:r>
        <w:rPr>
          <w:rFonts w:hint="eastAsia" w:ascii="宋体" w:hAnsi="宋体" w:cs="宋体"/>
          <w:kern w:val="0"/>
          <w:lang w:val="en-US" w:eastAsia="zh-CN"/>
        </w:rPr>
        <w:t>不涉及。</w:t>
      </w:r>
    </w:p>
    <w:p>
      <w:pPr>
        <w:spacing w:line="360" w:lineRule="auto"/>
        <w:ind w:firstLine="403" w:firstLineChars="192"/>
        <w:outlineLvl w:val="2"/>
        <w:rPr>
          <w:rFonts w:ascii="宋体" w:hAnsi="宋体" w:cs="宋体"/>
          <w:b/>
          <w:kern w:val="0"/>
        </w:rPr>
      </w:pPr>
      <w:bookmarkStart w:id="23" w:name="_Toc508279863"/>
      <w:r>
        <w:rPr>
          <w:rFonts w:hint="eastAsia" w:ascii="宋体" w:hAnsi="宋体" w:cs="宋体"/>
          <w:b/>
          <w:kern w:val="0"/>
        </w:rPr>
        <w:t>3、 资格性审查。</w:t>
      </w:r>
      <w:bookmarkEnd w:id="23"/>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4"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4"/>
    </w:p>
    <w:p>
      <w:pPr>
        <w:spacing w:line="360" w:lineRule="auto"/>
        <w:ind w:firstLine="403" w:firstLineChars="192"/>
        <w:rPr>
          <w:rFonts w:ascii="宋体" w:hAnsi="宋体" w:cs="宋体"/>
          <w:kern w:val="0"/>
        </w:rPr>
      </w:pPr>
      <w:bookmarkStart w:id="25" w:name="_Toc508279865"/>
      <w:r>
        <w:rPr>
          <w:rFonts w:hint="eastAsia" w:ascii="宋体" w:hAnsi="宋体" w:cs="宋体"/>
          <w:kern w:val="0"/>
        </w:rPr>
        <w:t>3.2资格性审查结束后，出具资格性审查表。</w:t>
      </w:r>
      <w:bookmarkEnd w:id="25"/>
    </w:p>
    <w:p>
      <w:pPr>
        <w:spacing w:line="360" w:lineRule="auto"/>
        <w:ind w:firstLine="403" w:firstLineChars="192"/>
        <w:rPr>
          <w:rFonts w:ascii="宋体" w:hAnsi="宋体" w:cs="宋体"/>
          <w:kern w:val="0"/>
        </w:rPr>
      </w:pPr>
      <w:bookmarkStart w:id="26"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6"/>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7" w:name="_Toc508279868"/>
      <w:r>
        <w:rPr>
          <w:rFonts w:hint="eastAsia" w:ascii="宋体" w:hAnsi="宋体" w:cs="宋体"/>
          <w:kern w:val="0"/>
        </w:rPr>
        <w:t>3.4通过资格性审查的供应商不足3家的，终止本次采购活动，并发布终止采购活动公告。</w:t>
      </w:r>
      <w:bookmarkEnd w:id="27"/>
    </w:p>
    <w:p>
      <w:pPr>
        <w:spacing w:line="360" w:lineRule="auto"/>
        <w:ind w:firstLine="403" w:firstLineChars="192"/>
        <w:outlineLvl w:val="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12"/>
      <w:bookmarkEnd w:id="13"/>
      <w:bookmarkEnd w:id="14"/>
      <w:bookmarkEnd w:id="15"/>
      <w:bookmarkEnd w:id="20"/>
      <w:bookmarkEnd w:id="21"/>
      <w:bookmarkEnd w:id="22"/>
      <w:bookmarkStart w:id="28" w:name="_Toc173895842"/>
      <w:bookmarkStart w:id="29" w:name="_Toc180296784"/>
      <w:bookmarkStart w:id="30" w:name="_Toc211679181"/>
      <w:bookmarkStart w:id="31" w:name="_Toc173895657"/>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8"/>
      <w:bookmarkEnd w:id="29"/>
      <w:bookmarkEnd w:id="30"/>
      <w:bookmarkEnd w:id="31"/>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420" w:lineRule="exact"/>
        <w:ind w:firstLine="404" w:firstLineChars="200"/>
        <w:rPr>
          <w:rFonts w:hint="eastAsia" w:hAnsi="宋体"/>
          <w:kern w:val="0"/>
        </w:rPr>
      </w:pPr>
      <w:r>
        <w:rPr>
          <w:rFonts w:hint="eastAsia" w:ascii="宋体" w:hAnsi="宋体" w:cs="宋体"/>
          <w:spacing w:val="-4"/>
        </w:rPr>
        <w:t>本项目共1个包，采购</w:t>
      </w:r>
      <w:r>
        <w:rPr>
          <w:rFonts w:hint="eastAsia" w:hAnsi="宋体"/>
          <w:kern w:val="0"/>
          <w:lang w:val="en-US" w:eastAsia="zh-CN"/>
        </w:rPr>
        <w:t>资阳市中心医院重症医学远程管理平台与业务系统接口对接服务</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35000</w:t>
      </w:r>
      <w:r>
        <w:t>元</w:t>
      </w:r>
      <w:r>
        <w:rPr>
          <w:rFonts w:hint="eastAsia" w:hAnsi="宋体"/>
          <w:kern w:val="0"/>
          <w:lang w:val="en-US" w:eastAsia="zh-CN"/>
        </w:rPr>
        <w:t>。</w:t>
      </w:r>
      <w:r>
        <w:rPr>
          <w:rFonts w:hint="eastAsia" w:hAnsi="宋体"/>
          <w:kern w:val="0"/>
        </w:rPr>
        <w:t>超过最高限价的报价为无效响应。</w:t>
      </w:r>
    </w:p>
    <w:p>
      <w:pPr>
        <w:pStyle w:val="4"/>
        <w:numPr>
          <w:ilvl w:val="0"/>
          <w:numId w:val="0"/>
        </w:numPr>
        <w:spacing w:before="0" w:after="0" w:line="336" w:lineRule="auto"/>
        <w:jc w:val="left"/>
        <w:rPr>
          <w:rFonts w:ascii="宋体"/>
          <w:b/>
          <w:bCs/>
        </w:rPr>
      </w:pPr>
      <w:r>
        <w:rPr>
          <w:rFonts w:hint="eastAsia"/>
        </w:rPr>
        <w:t>★二、商务要求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（一）服务地点：资阳市中心医院。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（二）服务期限：1年。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（三）付款方法和条件：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1.接口完成并通过验收后30个工作日内，</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支付合同金额的90%。系统正常运行一年，</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凭借维保台账向</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提出支付申请，采购人在30个工作日内，支付合同金额的10%。</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b/>
          <w:bCs/>
        </w:rPr>
      </w:pPr>
      <w:r>
        <w:rPr>
          <w:rFonts w:hint="eastAsia" w:ascii="宋体" w:hAnsi="宋体" w:eastAsia="宋体" w:cs="宋体"/>
          <w:b w:val="0"/>
          <w:bCs w:val="0"/>
          <w:color w:val="auto"/>
          <w:sz w:val="21"/>
          <w:szCs w:val="21"/>
          <w:lang w:val="en-US" w:eastAsia="zh-CN"/>
        </w:rPr>
        <w:t>2.成交供应商须向采购人出具合法有效完整的完税发票及凭证资料进行支付结算,资料不齐全的采购人有权拒绝付款且不承担违约责任。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bookmarkStart w:id="32" w:name="OLE_LINK8"/>
      <w:r>
        <w:rPr>
          <w:rFonts w:hint="eastAsia" w:ascii="宋体" w:hAnsi="宋体"/>
          <w:b/>
          <w:lang w:val="en-US" w:eastAsia="zh-CN"/>
        </w:rPr>
        <w:t>（四）</w:t>
      </w:r>
      <w:bookmarkEnd w:id="32"/>
      <w:r>
        <w:rPr>
          <w:rFonts w:hint="eastAsia" w:ascii="宋体" w:hAnsi="宋体"/>
          <w:b/>
          <w:lang w:val="en-US" w:eastAsia="zh-CN"/>
        </w:rPr>
        <w:t>报价要求：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报价是响应采购项目要求的全部工作内容的价格体现，包含完成本项目所涉及的人员劳务、差旅、设备投入、开发、保险、风险、税金、利润以及采购文件规定的一切费用，包括但不限于在服务期内，供应商技术工程师到达采购人现场的差旅费、住宿费、伙食补助费由成交供应商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（五）验收标准和方法：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1.验收</w:t>
      </w:r>
      <w:r>
        <w:rPr>
          <w:rFonts w:hint="eastAsia" w:ascii="宋体" w:hAnsi="宋体" w:cs="宋体"/>
          <w:b w:val="0"/>
          <w:bCs w:val="0"/>
          <w:color w:val="auto"/>
          <w:sz w:val="21"/>
          <w:szCs w:val="21"/>
          <w:lang w:val="en-US" w:eastAsia="zh-CN"/>
        </w:rPr>
        <w:t>参照</w:t>
      </w:r>
      <w:r>
        <w:rPr>
          <w:rFonts w:hint="eastAsia" w:ascii="宋体" w:hAnsi="宋体" w:eastAsia="宋体" w:cs="宋体"/>
          <w:b w:val="0"/>
          <w:bCs w:val="0"/>
          <w:color w:val="auto"/>
          <w:sz w:val="21"/>
          <w:szCs w:val="21"/>
          <w:lang w:val="en-US" w:eastAsia="zh-CN"/>
        </w:rPr>
        <w:t>《财政部关于进一步加强政府采购需求和履约验收管理的指导意见》（财库〔2016〕205号）的要求组织验收，以采购文件技术参数及要求及响应文件技术响应为准。如出现未在采购文件中明确规定的，以行业相关标准为准。</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2.验收主体：采购人</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3.验收时间：接口完成并能够满足服务要求，</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提出验收申请后三个工作日内。</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4.验收流程：针对商务条款和技术条款逐条验收。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验收标准：如出现未在采购文件中明确规定的，以行业相关标准为准。如采购双方如对质量要求和技术指标的约定标准有相互抵触或异议的事项，由采购人在采购文件与响应文件中按质量要求和技术指标、行业标准比较优胜的原则确定该项的约定标准进行验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6.验收时成交供应商须提供的资料：服务期间的相关问题处理记录等台账。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（六）人员配置要求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应为本项目提供稳定的服务团队，负责解决系统技术问题、运维项目管理和沟通协调等，能够及时为采购人解决接口相关问题。投标文件必须提供本项目拟定的项目组成员，承诺项目服务期间技术维护人员不得</w:t>
      </w:r>
      <w:r>
        <w:rPr>
          <w:rFonts w:hint="eastAsia" w:ascii="宋体" w:hAnsi="宋体" w:eastAsia="宋体" w:cs="宋体"/>
          <w:b w:val="0"/>
          <w:bCs w:val="0"/>
          <w:color w:val="auto"/>
          <w:sz w:val="21"/>
          <w:szCs w:val="21"/>
          <w:highlight w:val="none"/>
          <w:lang w:val="en-US" w:eastAsia="zh-CN"/>
        </w:rPr>
        <w:t>少于</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lang w:val="en-US" w:eastAsia="zh-CN"/>
        </w:rPr>
        <w:t>同时，根据具体工作情况，合理安排并增加技术维护人员数，以满足医院的实际工作需要。</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2.因</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自身等原因确需更换技术维护人员，应书面形式（加盖公章）通知采购人，并且技术维护人员应与中标方的投标文件所确定的人员的主要条件（资质、项目从业经验）一致或更优，未得到采购人确认同意的情况下不得调换。采购人有权利要求</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调换不称职的技术维护人。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（七）知识产权归属和处理方式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应保证在本项目使用（包括部分使用）的任何产品和服务时，不会产生因第三方提出侵犯其专利权、商标权或其它知识产权而引起的法律和经济纠纷，如因专利权、商标权或其它知识产权而引起法律和经济纠纷，由</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承担所有相关责任。</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2.如采用</w:t>
      </w:r>
      <w:r>
        <w:rPr>
          <w:rFonts w:hint="eastAsia" w:ascii="宋体" w:hAnsi="宋体" w:cs="宋体"/>
          <w:b w:val="0"/>
          <w:bCs w:val="0"/>
          <w:color w:val="auto"/>
          <w:sz w:val="21"/>
          <w:szCs w:val="21"/>
          <w:lang w:val="en-US" w:eastAsia="zh-CN"/>
        </w:rPr>
        <w:t>供应商</w:t>
      </w:r>
      <w:r>
        <w:rPr>
          <w:rFonts w:hint="eastAsia" w:ascii="宋体" w:hAnsi="宋体" w:eastAsia="宋体" w:cs="宋体"/>
          <w:b w:val="0"/>
          <w:bCs w:val="0"/>
          <w:color w:val="auto"/>
          <w:sz w:val="21"/>
          <w:szCs w:val="21"/>
          <w:lang w:val="en-US" w:eastAsia="zh-CN"/>
        </w:rPr>
        <w:t>所不拥有的知识产权，则在投标报价中必须包括合法获取该知识产权的相关费用。</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3.采购人享有本项目实施过程中产生的相关知识成果及知识产权的永久使用权。合同终止或中止或合同出现争议期间，</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不得设置任何软件登陆密码等方式，限制采购人正常使用。因</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单方面限制导致采购人无法使用软件造成院方的损失，均由</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负责及承担。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（八）违约责任与解决争议的方法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采购人与供应商双方必须遵守合同并执行合同中的各项规定，保证合同的正常履行。除合同另有具体约定外，若一方违约，应向对方支付合同总金额的20%的违约金，违约金不足以弥补对方损失的，还应就不是弥补部分进行赔偿。</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3.服务期内，供应商若未按合同约定履行相应服务的，采购人有权向第三方采购相同或类似服务，由此产生的费用采购人有权在未付供应商的款项中予以直接扣除。</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采购人下达限期整改通知书要求供应商限期整改，而供应商拒不整改或经两次整改仍达不到采购人要求或合同约定标准的，采购人有权单方解除合同，并要求供应商支付合同总金额20%的违约金，违约金不能弥补采购人损失的，供应商还应就不能弥补部分进行赔偿。</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违约方应赔偿守约方的损失包括但不限于守约方直接损失、对第三方的赔偿责任及因合理维权所产生的诉讼费、仲裁费、律师费、鉴定费、公证费、保全费、执行费等全部费用。供应商违约所产生的违约金，供应商同意采购人在未付款中予以直接扣除。</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6.解决合同纠纷的方式:合同在履行中发生争议，采购人与供应商双方协商解决，协商不成的，任何一方可向采购人所在地的人民法院提起诉讼解决。</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（九）培训要求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对医院信息部技术人员进行培训指导，熟悉接口内部设计逻辑、字段等，确保相关系统管理员能够独立处理接口相关问题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（十）保密要求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在任何情况下，</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在服务过程中获取的有关采购人的任何信息均须保密，并采取有效的保密措施和手段，严禁泄露给第三方，否则，除承担违约责任外，还应赔偿由此给采购人造成的一切损失。</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需与</w:t>
      </w:r>
      <w:r>
        <w:rPr>
          <w:rFonts w:hint="eastAsia" w:ascii="宋体" w:hAnsi="宋体" w:cs="宋体"/>
          <w:b w:val="0"/>
          <w:bCs w:val="0"/>
          <w:color w:val="auto"/>
          <w:sz w:val="21"/>
          <w:szCs w:val="21"/>
          <w:lang w:val="en-US" w:eastAsia="zh-CN"/>
        </w:rPr>
        <w:t>采购人</w:t>
      </w:r>
      <w:r>
        <w:rPr>
          <w:rFonts w:hint="eastAsia" w:ascii="宋体" w:hAnsi="宋体" w:eastAsia="宋体" w:cs="宋体"/>
          <w:b w:val="0"/>
          <w:bCs w:val="0"/>
          <w:color w:val="auto"/>
          <w:sz w:val="21"/>
          <w:szCs w:val="21"/>
          <w:lang w:val="en-US" w:eastAsia="zh-CN"/>
        </w:rPr>
        <w:t>签署保密协议，确保医院信息网络数据的管理安全。合同的变更、解除或无效，不影响本条款的效力，保密有效期一直有效。</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应自觉维护采购人的利益，严格遵守保密等相关法律法规和采购人规定，不得向任何单位和个人泄露采购人的任何资料信息，不得利用所掌握的信息数据牟取私利，</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须加强保密管理，对</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的参与项目的工作人员开展背景审查、签署保密协议等措施，确保</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及</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参与人员不向第三方公开或披露任何保密信息，不论采购人披露的信息采用直接、间接还是口头或书面等形式，只要涉及到采购人未曾发表、公开或公众的信息，该信息即在的保密范围。</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（1）技术信息：包括涉及采购人信息化建设中的技术信息，包括软件技术、数据、管理文件等；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（2）人事信息：包括涉及采购人的人事档案、薪酬、及考核等人力资源管理信息；</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（3）医院运行信息：包括涉及采购人业务运行的各种信息，医院经营方向、经营决策、定价政策以及内部掌握的合同、协议、项目方案等；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（4）财务信息：包括涉及采购人的各项财务报表、成本及预算报告、员工工资等；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（5）患者信息：包括涉及采购人门诊、住院患者的相关诊疗信息，如患者基本信息、诊疗计划、病历信息、费用信息、处方等；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（6）采购人依照法律、法规或相关协议规定，对外承担保密义务的其他事项。</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2.未经采购人书面批准，</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不得以直接或间接方式向第三方透露采购人相关保密信息，包括本项目的相关文件、技术方案、实施计划等相关信息。</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不得将上述信息进行买卖，谋取不正当利益。</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不得为药品生产、经营企业以及其他人员提供任何形式的医院药品、器械、耗材等使用信息，或各类商业目的的“统方”，不利用工作之便或个人关系为医药营销人员统方提供信息数据便利。</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4.对于采购人向</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提供的系统登录用户名和密码，</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仅用于维护使用，不得擅自做其他用途或泄露给第三方。</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不得利用采购人提供的电脑和网络系统，私自连接外网，发送垃圾邮件、攻击网络和计算机系统，不得私自使用外来移动硬盘、U盘、光盘等移动存储介质，防止计算机病毒传播，危害网络信息安全。</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不得在运行的信息系统上私自开发、挂靠与业务工作无关的软件或系统，不得发布通知或广告。</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有违反保密的情形，无论故意与过失，应当立即停止侵害，并在第一时间采取一切必要措施防止保密信息的扩散，尽最大可能消除影响，并及时通知采购人。</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7.</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违反保密的规定，应承担由此产生的全部责任，包括但不限于律师代理费、诉讼费、差旅费、材料费、调查费、评估费、鉴定费等一切费用。同时</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应向采购人支付违约金，违约金的具体数额由甲乙双方协商确定。违约金数额并不影响受损害方向违约方要求损害赔偿。该等赔偿以受损害方实际遭受的损失为限。</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8.合同的变更、解除或无效，不影响本条款的效力，保密有效期一直有效。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（十一）安全管理要求</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应严格遵守操作规程以及采购人相应的规章制度或规定，加强管理，防火防盗，并对由项目实施过程中因</w:t>
      </w:r>
      <w:r>
        <w:rPr>
          <w:rFonts w:hint="eastAsia" w:ascii="宋体" w:hAnsi="宋体" w:cs="宋体"/>
          <w:b w:val="0"/>
          <w:bCs w:val="0"/>
          <w:color w:val="auto"/>
          <w:sz w:val="21"/>
          <w:szCs w:val="21"/>
          <w:lang w:val="en-US" w:eastAsia="zh-CN"/>
        </w:rPr>
        <w:t>成交供应商</w:t>
      </w:r>
      <w:r>
        <w:rPr>
          <w:rFonts w:hint="eastAsia" w:ascii="宋体" w:hAnsi="宋体" w:eastAsia="宋体" w:cs="宋体"/>
          <w:b w:val="0"/>
          <w:bCs w:val="0"/>
          <w:color w:val="auto"/>
          <w:sz w:val="21"/>
          <w:szCs w:val="21"/>
          <w:lang w:val="en-US" w:eastAsia="zh-CN"/>
        </w:rPr>
        <w:t>引起的一切安全事故或劳动纠纷等承担全部责任，且不得因此影响项目进度。</w:t>
      </w:r>
    </w:p>
    <w:p>
      <w:pPr>
        <w:spacing w:line="500" w:lineRule="exac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★三、技术参数要求</w:t>
      </w:r>
    </w:p>
    <w:p>
      <w:pPr>
        <w:pStyle w:val="2"/>
        <w:rPr>
          <w:rFonts w:hint="eastAsia"/>
          <w:lang w:val="en-US" w:eastAsia="zh-CN"/>
        </w:rPr>
      </w:pPr>
      <w:r>
        <w:rPr>
          <w:rFonts w:hint="eastAsia"/>
          <w:lang w:val="en-US" w:eastAsia="zh-CN"/>
        </w:rPr>
        <w:t>包号：01包</w:t>
      </w:r>
    </w:p>
    <w:tbl>
      <w:tblPr>
        <w:tblStyle w:val="28"/>
        <w:tblW w:w="89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595"/>
        <w:gridCol w:w="6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序号</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功能模块</w:t>
            </w:r>
          </w:p>
        </w:tc>
        <w:tc>
          <w:tcPr>
            <w:tcW w:w="6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数据提取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患者信息</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通过报告时间获取患者所在的病区、床号、住院号（病案号）、传染病诊断；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通过住院号（病案号）获得姓名、性别、身高、体重等基本信息；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通过住院号（病案号）获得患者的转科、出院信息。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医嘱数据</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通过住院号（病案号），医嘱时间获得患者医嘱数据，包括医嘱类型、医嘱名称、用法等。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护理记录</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通过住院号（病案号），记录时间获取患者的护理记录数据，包括体温、呼吸、心率（脉率）、血压、意识、24小时尿量、是否吸氧等。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检验报告</w:t>
            </w:r>
          </w:p>
        </w:tc>
        <w:tc>
          <w:tcPr>
            <w:tcW w:w="6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通过住院号（病案号），报告时间获取患者实验室检查报告，包括血常规、生化、微生物、免疫等检验项目。</w:t>
            </w:r>
          </w:p>
        </w:tc>
      </w:tr>
    </w:tbl>
    <w:p>
      <w:pPr>
        <w:widowControl/>
        <w:jc w:val="left"/>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1.系统保障。确保接口完成后能完全满足上表所例举相关数据提取、各项数据正确，为采购人的相关业务开展提供系统支持。</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2.数据修复。在系统运行过程中，因操作、系统 Bug 因素或者其他不可控的原因造成数据不正常，在采购人确认后进行数据修复，在修复过程中要求采用必要的技术及管理流程以确保数据安全，并将整个修复过程记录备案。</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3.在服务期间，如因成交供应商原因造成医院业务不能正常开展，由此造成的一切可量化损失均由成交供应商承担。</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4.接口问题引起的系统故障，成交供应商7*24小时响应，10分钟内应作出实质性响应，如远程20分钟内无法解决，派合格的技术工程师4小时内到达现场进行维护。</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5.供应商须指派专人负责与采购人联系售后服务事宜：在成交后签订合同时，</w:t>
      </w:r>
      <w:r>
        <w:rPr>
          <w:rFonts w:hint="eastAsia" w:ascii="宋体" w:hAnsi="宋体" w:cs="宋体"/>
          <w:b w:val="0"/>
          <w:bCs w:val="0"/>
          <w:color w:val="auto"/>
          <w:sz w:val="21"/>
          <w:szCs w:val="21"/>
          <w:lang w:val="en-US" w:eastAsia="zh-CN"/>
        </w:rPr>
        <w:t>提供人员姓名、职务、联系电话（含座机、手机等）。</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6.成交供应商在项目实施期间需要提供接口文档、需求规格说明书、用户操作手册、测试报告、数据结构说明书；其中涉及的接口配置等应提供可配置的源代码。</w:t>
      </w:r>
      <w:r>
        <w:rPr>
          <w:rFonts w:hint="eastAsia" w:ascii="宋体" w:hAnsi="宋体" w:cs="宋体"/>
          <w:b w:val="0"/>
          <w:bCs w:val="0"/>
          <w:color w:val="auto"/>
          <w:sz w:val="21"/>
          <w:szCs w:val="21"/>
          <w:lang w:val="en-US" w:eastAsia="zh-CN"/>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33" w:name="_Toc173895846"/>
      <w:bookmarkStart w:id="34" w:name="_Toc180296788"/>
      <w:bookmarkStart w:id="35" w:name="_Toc173895658"/>
      <w:bookmarkStart w:id="36" w:name="_Toc211679185"/>
      <w:r>
        <w:rPr>
          <w:rFonts w:hint="eastAsia" w:ascii="宋体" w:hAnsi="宋体" w:cs="宋体"/>
          <w:b/>
          <w:bCs/>
          <w:kern w:val="44"/>
          <w:sz w:val="32"/>
          <w:szCs w:val="32"/>
        </w:rPr>
        <w:t>比选申请文件的相关格式</w:t>
      </w:r>
      <w:bookmarkEnd w:id="33"/>
      <w:bookmarkEnd w:id="34"/>
      <w:bookmarkEnd w:id="35"/>
      <w:r>
        <w:rPr>
          <w:rFonts w:hint="eastAsia" w:ascii="宋体" w:hAnsi="宋体" w:cs="宋体"/>
          <w:b/>
          <w:bCs/>
          <w:kern w:val="44"/>
          <w:sz w:val="32"/>
          <w:szCs w:val="32"/>
        </w:rPr>
        <w:t>及要求</w:t>
      </w:r>
      <w:bookmarkEnd w:id="36"/>
      <w:bookmarkStart w:id="37" w:name="_Toc173895659"/>
      <w:bookmarkStart w:id="38" w:name="_Toc180296789"/>
      <w:bookmarkStart w:id="39" w:name="_Toc211679186"/>
      <w:bookmarkStart w:id="40" w:name="_Toc173895847"/>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hint="eastAsia"/>
        </w:rPr>
      </w:pPr>
      <w:r>
        <w:rPr>
          <w:rFonts w:hint="eastAsia"/>
        </w:rPr>
        <w:t>二、报价一览表</w:t>
      </w:r>
    </w:p>
    <w:p>
      <w:pPr>
        <w:pStyle w:val="16"/>
        <w:spacing w:line="360" w:lineRule="auto"/>
      </w:pPr>
      <w:r>
        <w:rPr>
          <w:rFonts w:hint="eastAsia"/>
        </w:rPr>
        <w:t>包号：01包</w:t>
      </w:r>
    </w:p>
    <w:tbl>
      <w:tblPr>
        <w:tblStyle w:val="2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39"/>
        <w:gridCol w:w="930"/>
        <w:gridCol w:w="1855"/>
        <w:gridCol w:w="2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40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i w:val="0"/>
                <w:iCs w:val="0"/>
                <w:color w:val="auto"/>
                <w:sz w:val="21"/>
                <w:szCs w:val="21"/>
                <w:u w:val="none"/>
              </w:rPr>
            </w:pPr>
            <w:bookmarkStart w:id="41" w:name="OLE_LINK13" w:colFirst="4" w:colLast="4"/>
            <w:bookmarkStart w:id="42" w:name="OLE_LINK17"/>
            <w:r>
              <w:rPr>
                <w:rFonts w:hint="eastAsia" w:ascii="宋体" w:hAnsi="宋体" w:eastAsia="宋体" w:cs="宋体"/>
                <w:b/>
                <w:bCs/>
                <w:color w:val="000000"/>
                <w:kern w:val="0"/>
                <w:sz w:val="20"/>
                <w:szCs w:val="20"/>
                <w:lang w:val="en-US" w:eastAsia="zh-CN" w:bidi="ar"/>
              </w:rPr>
              <w:t>服务内容</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最高限价（元）</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40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spacing w:after="0" w:line="360" w:lineRule="auto"/>
              <w:ind w:left="0" w:leftChars="0" w:firstLine="0" w:firstLineChars="0"/>
              <w:jc w:val="center"/>
              <w:rPr>
                <w:rFonts w:hint="eastAsia" w:ascii="宋体" w:hAnsi="宋体" w:eastAsia="宋体" w:cs="宋体"/>
                <w:i w:val="0"/>
                <w:iCs w:val="0"/>
                <w:color w:val="auto"/>
                <w:sz w:val="21"/>
                <w:szCs w:val="21"/>
                <w:u w:val="none"/>
              </w:rPr>
            </w:pPr>
            <w:bookmarkStart w:id="43" w:name="OLE_LINK5"/>
            <w:r>
              <w:rPr>
                <w:rFonts w:hint="eastAsia" w:cs="Times New Roman" w:asciiTheme="majorEastAsia" w:hAnsiTheme="majorEastAsia" w:eastAsiaTheme="majorEastAsia"/>
                <w:kern w:val="2"/>
                <w:sz w:val="21"/>
                <w:szCs w:val="21"/>
                <w:lang w:val="en-US" w:eastAsia="zh-CN" w:bidi="ar-SA"/>
              </w:rPr>
              <w:t>资阳市中心医院重症医学远程管理平台与业务系统接口对接服务</w:t>
            </w:r>
            <w:bookmarkEnd w:id="43"/>
            <w:bookmarkStart w:id="51" w:name="_GoBack"/>
            <w:bookmarkEnd w:id="51"/>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项</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35000</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bookmarkStart w:id="44" w:name="OLE_LINK19"/>
            <w:r>
              <w:rPr>
                <w:rFonts w:hint="eastAsia" w:ascii="宋体" w:hAnsi="宋体" w:cs="宋体"/>
                <w:color w:val="000000"/>
                <w:kern w:val="0"/>
                <w:sz w:val="22"/>
                <w:szCs w:val="22"/>
                <w:lang w:val="en-US" w:eastAsia="zh-CN" w:bidi="ar"/>
              </w:rPr>
              <w:t>人民币：</w:t>
            </w:r>
            <w:r>
              <w:rPr>
                <w:rFonts w:hint="eastAsia" w:ascii="宋体" w:hAnsi="宋体" w:cs="宋体"/>
                <w:color w:val="000000"/>
                <w:kern w:val="0"/>
                <w:sz w:val="22"/>
                <w:szCs w:val="22"/>
                <w:u w:val="single"/>
                <w:lang w:val="en-US" w:eastAsia="zh-CN" w:bidi="ar"/>
              </w:rPr>
              <w:t xml:space="preserve">          </w:t>
            </w:r>
            <w:r>
              <w:rPr>
                <w:rFonts w:hint="eastAsia" w:ascii="宋体" w:hAnsi="宋体" w:cs="宋体"/>
                <w:color w:val="000000"/>
                <w:kern w:val="0"/>
                <w:sz w:val="22"/>
                <w:szCs w:val="22"/>
                <w:lang w:val="en-US" w:eastAsia="zh-CN" w:bidi="ar"/>
              </w:rPr>
              <w:t>元</w:t>
            </w:r>
            <w:bookmarkEnd w:id="4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91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宋体" w:hAnsi="宋体" w:cs="宋体" w:eastAsiaTheme="majorEastAsia"/>
                <w:color w:val="000000"/>
                <w:kern w:val="0"/>
                <w:sz w:val="22"/>
                <w:szCs w:val="22"/>
                <w:u w:val="none"/>
                <w:lang w:val="en-US" w:eastAsia="zh-CN" w:bidi="ar"/>
              </w:rPr>
            </w:pPr>
            <w:r>
              <w:rPr>
                <w:rFonts w:hint="eastAsia" w:asciiTheme="majorEastAsia" w:hAnsiTheme="majorEastAsia" w:eastAsiaTheme="majorEastAsia"/>
              </w:rPr>
              <w:t>报价合计（万元）：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p>
        </w:tc>
      </w:tr>
      <w:bookmarkEnd w:id="41"/>
      <w:bookmarkEnd w:id="42"/>
    </w:tbl>
    <w:p/>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7"/>
      <w:bookmarkEnd w:id="38"/>
      <w:bookmarkEnd w:id="39"/>
      <w:bookmarkEnd w:id="4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45" w:name="_Toc518397160"/>
      <w:bookmarkStart w:id="46" w:name="_Toc185047520"/>
      <w:bookmarkStart w:id="47" w:name="_Toc518397109"/>
      <w:r>
        <w:br w:type="page"/>
      </w:r>
      <w:r>
        <w:rPr>
          <w:rFonts w:hint="eastAsia"/>
        </w:rPr>
        <w:t>五、</w:t>
      </w:r>
      <w:bookmarkEnd w:id="45"/>
      <w:bookmarkEnd w:id="46"/>
      <w:bookmarkEnd w:id="47"/>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6"/>
              <w:rPr>
                <w:rFonts w:ascii="宋体" w:hAnsi="宋体"/>
                <w:sz w:val="21"/>
                <w:szCs w:val="21"/>
              </w:rPr>
            </w:pPr>
            <w:r>
              <w:rPr>
                <w:rFonts w:hint="eastAsia" w:ascii="宋体" w:hAnsi="宋体"/>
                <w:sz w:val="21"/>
                <w:szCs w:val="21"/>
              </w:rPr>
              <w:t>序号</w:t>
            </w:r>
          </w:p>
        </w:tc>
        <w:tc>
          <w:tcPr>
            <w:tcW w:w="1315" w:type="dxa"/>
            <w:vAlign w:val="center"/>
          </w:tcPr>
          <w:p>
            <w:pPr>
              <w:pStyle w:val="56"/>
              <w:rPr>
                <w:rFonts w:ascii="宋体" w:hAnsi="宋体"/>
                <w:sz w:val="21"/>
                <w:szCs w:val="21"/>
              </w:rPr>
            </w:pPr>
            <w:r>
              <w:rPr>
                <w:rFonts w:hint="eastAsia" w:ascii="宋体" w:hAnsi="宋体"/>
                <w:sz w:val="21"/>
                <w:szCs w:val="21"/>
              </w:rPr>
              <w:t>技术内容</w:t>
            </w:r>
          </w:p>
        </w:tc>
        <w:tc>
          <w:tcPr>
            <w:tcW w:w="2629" w:type="dxa"/>
            <w:vAlign w:val="center"/>
          </w:tcPr>
          <w:p>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6"/>
              <w:rPr>
                <w:rFonts w:ascii="宋体" w:hAnsi="宋体"/>
                <w:sz w:val="21"/>
                <w:szCs w:val="21"/>
              </w:rPr>
            </w:pPr>
            <w:r>
              <w:rPr>
                <w:rFonts w:hint="eastAsia" w:ascii="宋体" w:hAnsi="宋体"/>
                <w:sz w:val="21"/>
                <w:szCs w:val="21"/>
              </w:rPr>
              <w:t>响应服务参数</w:t>
            </w:r>
          </w:p>
        </w:tc>
        <w:tc>
          <w:tcPr>
            <w:tcW w:w="1646" w:type="dxa"/>
            <w:vAlign w:val="center"/>
          </w:tcPr>
          <w:p>
            <w:pPr>
              <w:pStyle w:val="56"/>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2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8"/>
        <w:gridCol w:w="3442"/>
        <w:gridCol w:w="22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07" w:type="dxa"/>
            <w:vAlign w:val="center"/>
          </w:tcPr>
          <w:p>
            <w:pPr>
              <w:pStyle w:val="16"/>
              <w:spacing w:line="360" w:lineRule="auto"/>
              <w:jc w:val="center"/>
              <w:rPr>
                <w:rFonts w:hAnsi="宋体" w:cs="Times New Roman"/>
                <w:kern w:val="0"/>
              </w:rPr>
            </w:pPr>
            <w:r>
              <w:rPr>
                <w:rFonts w:hint="eastAsia" w:hAnsi="宋体"/>
                <w:kern w:val="0"/>
              </w:rPr>
              <w:t>序号</w:t>
            </w:r>
          </w:p>
        </w:tc>
        <w:tc>
          <w:tcPr>
            <w:tcW w:w="1728" w:type="dxa"/>
            <w:vAlign w:val="center"/>
          </w:tcPr>
          <w:p>
            <w:pPr>
              <w:pStyle w:val="16"/>
              <w:spacing w:line="360" w:lineRule="auto"/>
              <w:jc w:val="center"/>
              <w:rPr>
                <w:rFonts w:hint="eastAsia" w:hAnsi="宋体"/>
                <w:kern w:val="0"/>
              </w:rPr>
            </w:pPr>
            <w:r>
              <w:rPr>
                <w:rFonts w:hint="eastAsia" w:hAnsi="宋体"/>
                <w:kern w:val="0"/>
              </w:rPr>
              <w:t>比选文件条目号</w:t>
            </w:r>
          </w:p>
        </w:tc>
        <w:tc>
          <w:tcPr>
            <w:tcW w:w="3442"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4"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2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ind w:left="277" w:hanging="277" w:hangingChars="132"/>
              <w:jc w:val="center"/>
              <w:rPr>
                <w:rFonts w:ascii="宋体"/>
                <w:kern w:val="0"/>
              </w:rPr>
            </w:pPr>
          </w:p>
        </w:tc>
        <w:tc>
          <w:tcPr>
            <w:tcW w:w="12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7" w:type="dxa"/>
            <w:vAlign w:val="center"/>
          </w:tcPr>
          <w:p>
            <w:pPr>
              <w:spacing w:line="360" w:lineRule="auto"/>
              <w:jc w:val="center"/>
              <w:rPr>
                <w:rFonts w:ascii="宋体"/>
                <w:kern w:val="0"/>
              </w:rPr>
            </w:pPr>
          </w:p>
        </w:tc>
        <w:tc>
          <w:tcPr>
            <w:tcW w:w="1728" w:type="dxa"/>
            <w:vAlign w:val="center"/>
          </w:tcPr>
          <w:p>
            <w:pPr>
              <w:pStyle w:val="16"/>
              <w:spacing w:line="360" w:lineRule="auto"/>
              <w:jc w:val="both"/>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48" w:name="_Toc361252259"/>
      <w:bookmarkStart w:id="49" w:name="_Toc365878703"/>
      <w:r>
        <w:rPr>
          <w:rFonts w:hint="eastAsia"/>
          <w:bCs w:val="0"/>
        </w:rPr>
        <w:t>九、最后报价表</w:t>
      </w:r>
    </w:p>
    <w:p>
      <w:pPr>
        <w:spacing w:line="360" w:lineRule="auto"/>
        <w:outlineLvl w:val="2"/>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outlineLvl w:val="2"/>
        <w:rPr>
          <w:rFonts w:ascii="宋体" w:hAnsi="宋体" w:cs="宋体"/>
          <w:sz w:val="24"/>
        </w:rPr>
      </w:pPr>
      <w:r>
        <w:rPr>
          <w:rFonts w:hint="eastAsia" w:ascii="宋体" w:hAnsi="宋体" w:cs="宋体"/>
          <w:sz w:val="24"/>
        </w:rPr>
        <w:t>二、报价表格式：</w:t>
      </w:r>
    </w:p>
    <w:p>
      <w:pPr>
        <w:jc w:val="center"/>
        <w:outlineLvl w:val="9"/>
        <w:rPr>
          <w:rFonts w:hint="eastAsia" w:ascii="宋体" w:hAnsi="宋体" w:cs="宋体"/>
          <w:b/>
          <w:sz w:val="32"/>
          <w:szCs w:val="32"/>
        </w:rPr>
      </w:pPr>
      <w:r>
        <w:rPr>
          <w:rFonts w:hint="eastAsia" w:ascii="宋体" w:hAnsi="宋体" w:cs="宋体"/>
          <w:b/>
          <w:sz w:val="32"/>
          <w:szCs w:val="32"/>
        </w:rPr>
        <w:t>最后报价表</w:t>
      </w:r>
    </w:p>
    <w:p>
      <w:pPr>
        <w:pStyle w:val="16"/>
        <w:spacing w:line="360" w:lineRule="auto"/>
      </w:pPr>
      <w:r>
        <w:rPr>
          <w:rFonts w:hint="eastAsia" w:hAnsi="宋体"/>
          <w:kern w:val="0"/>
        </w:rPr>
        <w:t>包号：</w:t>
      </w:r>
      <w:r>
        <w:rPr>
          <w:rFonts w:hint="eastAsia" w:hAnsi="宋体"/>
          <w:kern w:val="0"/>
          <w:lang w:val="en-US" w:eastAsia="zh-CN"/>
        </w:rPr>
        <w:t>01包</w:t>
      </w:r>
    </w:p>
    <w:tbl>
      <w:tblPr>
        <w:tblStyle w:val="2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39"/>
        <w:gridCol w:w="930"/>
        <w:gridCol w:w="1855"/>
        <w:gridCol w:w="2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jc w:val="center"/>
        </w:trPr>
        <w:tc>
          <w:tcPr>
            <w:tcW w:w="40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服务内容</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最高限价（元）</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40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cs="Times New Roman" w:asciiTheme="majorEastAsia" w:hAnsiTheme="majorEastAsia" w:eastAsiaTheme="majorEastAsia"/>
                <w:kern w:val="2"/>
                <w:sz w:val="21"/>
                <w:szCs w:val="21"/>
                <w:lang w:val="en-US" w:eastAsia="zh-CN" w:bidi="ar-SA"/>
              </w:rPr>
              <w:t>资阳市中心医院重症医学远程管理平台与业务系统接口对接服务</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r>
              <w:rPr>
                <w:rFonts w:hint="eastAsia" w:ascii="宋体" w:hAnsi="宋体" w:cs="宋体"/>
                <w:i w:val="0"/>
                <w:iCs w:val="0"/>
                <w:color w:val="auto"/>
                <w:kern w:val="0"/>
                <w:sz w:val="21"/>
                <w:szCs w:val="21"/>
                <w:u w:val="none"/>
                <w:lang w:val="en-US" w:eastAsia="zh-CN" w:bidi="ar"/>
              </w:rPr>
              <w:t>项</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35000</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r>
              <w:rPr>
                <w:rFonts w:hint="eastAsia" w:ascii="宋体" w:hAnsi="宋体" w:cs="宋体"/>
                <w:color w:val="000000"/>
                <w:kern w:val="0"/>
                <w:sz w:val="22"/>
                <w:szCs w:val="22"/>
                <w:lang w:val="en-US" w:eastAsia="zh-CN" w:bidi="ar"/>
              </w:rPr>
              <w:t>人民币：</w:t>
            </w:r>
            <w:r>
              <w:rPr>
                <w:rFonts w:hint="eastAsia" w:ascii="宋体" w:hAnsi="宋体" w:cs="宋体"/>
                <w:color w:val="000000"/>
                <w:kern w:val="0"/>
                <w:sz w:val="22"/>
                <w:szCs w:val="22"/>
                <w:u w:val="single"/>
                <w:lang w:val="en-US" w:eastAsia="zh-CN" w:bidi="ar"/>
              </w:rPr>
              <w:t xml:space="preserve">          </w:t>
            </w:r>
            <w:r>
              <w:rPr>
                <w:rFonts w:hint="eastAsia" w:ascii="宋体" w:hAnsi="宋体" w:cs="宋体"/>
                <w:color w:val="000000"/>
                <w:kern w:val="0"/>
                <w:sz w:val="22"/>
                <w:szCs w:val="22"/>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917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宋体" w:hAnsi="宋体" w:cs="宋体" w:eastAsiaTheme="majorEastAsia"/>
                <w:color w:val="000000"/>
                <w:kern w:val="0"/>
                <w:sz w:val="22"/>
                <w:szCs w:val="22"/>
                <w:u w:val="none"/>
                <w:lang w:val="en-US" w:eastAsia="zh-CN" w:bidi="ar"/>
              </w:rPr>
            </w:pPr>
            <w:r>
              <w:rPr>
                <w:rFonts w:hint="eastAsia" w:cs="Times New Roman" w:asciiTheme="majorEastAsia" w:hAnsiTheme="majorEastAsia" w:eastAsiaTheme="majorEastAsia"/>
              </w:rPr>
              <w:t>报价合计（万元）：</w:t>
            </w:r>
            <w:r>
              <w:rPr>
                <w:rFonts w:hint="eastAsia" w:cs="Times New Roman" w:asciiTheme="majorEastAsia" w:hAnsiTheme="majorEastAsia" w:eastAsiaTheme="majorEastAsia"/>
                <w:u w:val="single"/>
              </w:rPr>
              <w:t xml:space="preserve">        </w:t>
            </w:r>
            <w:r>
              <w:rPr>
                <w:rFonts w:cs="Times New Roman" w:asciiTheme="majorEastAsia" w:hAnsiTheme="majorEastAsia" w:eastAsiaTheme="majorEastAsia"/>
                <w:u w:val="single"/>
              </w:rPr>
              <w:t xml:space="preserve">    </w:t>
            </w:r>
            <w:r>
              <w:rPr>
                <w:rFonts w:hint="eastAsia" w:cs="Times New Roman" w:asciiTheme="majorEastAsia" w:hAnsiTheme="majorEastAsia" w:eastAsiaTheme="majorEastAsia"/>
                <w:u w:val="single"/>
              </w:rPr>
              <w:t xml:space="preserve">  </w:t>
            </w:r>
            <w:r>
              <w:rPr>
                <w:rFonts w:hint="eastAsia" w:cs="Times New Roman" w:asciiTheme="majorEastAsia" w:hAnsiTheme="majorEastAsia" w:eastAsiaTheme="majorEastAsia"/>
              </w:rPr>
              <w:t>大写：</w:t>
            </w:r>
            <w:r>
              <w:rPr>
                <w:rFonts w:hint="eastAsia" w:cs="Times New Roman" w:asciiTheme="majorEastAsia" w:hAnsiTheme="majorEastAsia" w:eastAsiaTheme="majorEastAsia"/>
                <w:u w:val="single"/>
                <w:lang w:val="en-US" w:eastAsia="zh-CN"/>
              </w:rPr>
              <w:t xml:space="preserve">         </w:t>
            </w: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rPr>
          <w:rFonts w:ascii="宋体"/>
        </w:rPr>
      </w:pPr>
      <w:r>
        <w:rPr>
          <w:rFonts w:hint="eastAsia"/>
        </w:rPr>
        <w:br w:type="page"/>
      </w:r>
      <w:bookmarkEnd w:id="48"/>
      <w:bookmarkEnd w:id="49"/>
      <w:bookmarkStart w:id="50" w:name="OLE_LINK16"/>
    </w:p>
    <w:bookmarkEnd w:id="50"/>
    <w:p>
      <w:pPr>
        <w:pStyle w:val="2"/>
        <w:rPr>
          <w:lang w:val="en-US" w:eastAsia="zh-CN"/>
        </w:rPr>
      </w:pPr>
    </w:p>
    <w:p>
      <w:pPr>
        <w:pStyle w:val="4"/>
        <w:numPr>
          <w:ilvl w:val="1"/>
          <w:numId w:val="0"/>
        </w:numPr>
        <w:tabs>
          <w:tab w:val="clear" w:pos="2045"/>
          <w:tab w:val="clear" w:pos="3828"/>
        </w:tabs>
        <w:ind w:left="3261"/>
        <w:rPr>
          <w:rFonts w:hint="eastAsia"/>
          <w:bCs w:val="0"/>
          <w:lang w:val="en-US" w:eastAsia="zh-CN"/>
        </w:rPr>
      </w:pPr>
      <w:r>
        <w:rPr>
          <w:rFonts w:hint="eastAsia"/>
          <w:bCs w:val="0"/>
          <w:lang w:val="en-US" w:eastAsia="zh-CN"/>
        </w:rPr>
        <w:t>十、其他材料（如有）</w:t>
      </w:r>
    </w:p>
    <w:p>
      <w:pPr>
        <w:spacing w:line="360" w:lineRule="auto"/>
        <w:jc w:val="center"/>
        <w:rPr>
          <w:rFonts w:hint="eastAsia"/>
          <w:highlight w:val="yellow"/>
          <w:lang w:val="en-US" w:eastAsia="zh-CN"/>
        </w:rPr>
      </w:pPr>
    </w:p>
    <w:p>
      <w:pPr>
        <w:spacing w:line="360" w:lineRule="auto"/>
        <w:jc w:val="center"/>
        <w:rPr>
          <w:rFonts w:ascii="宋体"/>
          <w:b/>
          <w:bCs/>
          <w:sz w:val="23"/>
          <w:szCs w:val="23"/>
        </w:rPr>
      </w:pPr>
      <w:r>
        <w:rPr>
          <w:rFonts w:hint="eastAsia"/>
          <w:lang w:val="en-US" w:eastAsia="zh-CN"/>
        </w:rPr>
        <w:t xml:space="preserve">   </w:t>
      </w:r>
      <w:r>
        <w:rPr>
          <w:rFonts w:hint="eastAsia" w:ascii="宋体" w:hAnsi="宋体" w:cs="宋体"/>
          <w:b/>
          <w:bCs/>
          <w:sz w:val="23"/>
          <w:szCs w:val="23"/>
        </w:rPr>
        <w:t>（格式自拟）</w:t>
      </w:r>
    </w:p>
    <w:p>
      <w:pPr>
        <w:rPr>
          <w:rFonts w:ascii="宋体"/>
        </w:rPr>
      </w:pPr>
    </w:p>
    <w:p>
      <w:pPr>
        <w:rPr>
          <w:rFonts w:hint="default"/>
          <w:lang w:val="en-US" w:eastAsia="zh-CN"/>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3A5844"/>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BA4195"/>
    <w:rsid w:val="05CA273A"/>
    <w:rsid w:val="05CC726C"/>
    <w:rsid w:val="06093262"/>
    <w:rsid w:val="0624108F"/>
    <w:rsid w:val="067B57E2"/>
    <w:rsid w:val="06847ACE"/>
    <w:rsid w:val="06B153F1"/>
    <w:rsid w:val="06B477BD"/>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731525"/>
    <w:rsid w:val="09880942"/>
    <w:rsid w:val="099948FD"/>
    <w:rsid w:val="09B836AD"/>
    <w:rsid w:val="09D516AE"/>
    <w:rsid w:val="09E50C48"/>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00712"/>
    <w:rsid w:val="0E651252"/>
    <w:rsid w:val="0E753F5B"/>
    <w:rsid w:val="0EA855E3"/>
    <w:rsid w:val="0EA93835"/>
    <w:rsid w:val="0EC266A4"/>
    <w:rsid w:val="0F386966"/>
    <w:rsid w:val="0F930041"/>
    <w:rsid w:val="0FC401FA"/>
    <w:rsid w:val="0FD85A54"/>
    <w:rsid w:val="0FFA3C1C"/>
    <w:rsid w:val="10443A9C"/>
    <w:rsid w:val="10541406"/>
    <w:rsid w:val="105552F6"/>
    <w:rsid w:val="10583483"/>
    <w:rsid w:val="1068327B"/>
    <w:rsid w:val="106D43EE"/>
    <w:rsid w:val="107D6B97"/>
    <w:rsid w:val="108245D5"/>
    <w:rsid w:val="10944070"/>
    <w:rsid w:val="10B335E5"/>
    <w:rsid w:val="10BC5375"/>
    <w:rsid w:val="10BD20EF"/>
    <w:rsid w:val="10C116E5"/>
    <w:rsid w:val="10CD30DE"/>
    <w:rsid w:val="10E16B8A"/>
    <w:rsid w:val="10E30B54"/>
    <w:rsid w:val="110F1949"/>
    <w:rsid w:val="11390774"/>
    <w:rsid w:val="11595888"/>
    <w:rsid w:val="11603F53"/>
    <w:rsid w:val="127D0416"/>
    <w:rsid w:val="127F665A"/>
    <w:rsid w:val="12C36C74"/>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CD5DF6"/>
    <w:rsid w:val="17EF431F"/>
    <w:rsid w:val="18027B12"/>
    <w:rsid w:val="181D2B9D"/>
    <w:rsid w:val="181F64EF"/>
    <w:rsid w:val="182C2DE0"/>
    <w:rsid w:val="18436143"/>
    <w:rsid w:val="18455C50"/>
    <w:rsid w:val="18E45FED"/>
    <w:rsid w:val="19000FED"/>
    <w:rsid w:val="19141836"/>
    <w:rsid w:val="19185113"/>
    <w:rsid w:val="19454FEE"/>
    <w:rsid w:val="19566367"/>
    <w:rsid w:val="19940C3D"/>
    <w:rsid w:val="19B20586"/>
    <w:rsid w:val="19C239FC"/>
    <w:rsid w:val="19FB6F0E"/>
    <w:rsid w:val="1A045DC3"/>
    <w:rsid w:val="1A1104E0"/>
    <w:rsid w:val="1A1C5C79"/>
    <w:rsid w:val="1A9A17A9"/>
    <w:rsid w:val="1AC76DF0"/>
    <w:rsid w:val="1AC8333C"/>
    <w:rsid w:val="1AD61454"/>
    <w:rsid w:val="1B0436DA"/>
    <w:rsid w:val="1B0D3F1C"/>
    <w:rsid w:val="1B5808E4"/>
    <w:rsid w:val="1B7B0983"/>
    <w:rsid w:val="1B866CAC"/>
    <w:rsid w:val="1B961A0F"/>
    <w:rsid w:val="1B9C004F"/>
    <w:rsid w:val="1C3445B2"/>
    <w:rsid w:val="1C47643B"/>
    <w:rsid w:val="1C4C1CA3"/>
    <w:rsid w:val="1C56042C"/>
    <w:rsid w:val="1C5A616E"/>
    <w:rsid w:val="1C6E64A8"/>
    <w:rsid w:val="1C890801"/>
    <w:rsid w:val="1CD13A03"/>
    <w:rsid w:val="1D10139C"/>
    <w:rsid w:val="1D1502E7"/>
    <w:rsid w:val="1D285972"/>
    <w:rsid w:val="1D3820CE"/>
    <w:rsid w:val="1D3A0985"/>
    <w:rsid w:val="1D8B67FB"/>
    <w:rsid w:val="1D951428"/>
    <w:rsid w:val="1DA43419"/>
    <w:rsid w:val="1E2C3B3A"/>
    <w:rsid w:val="1E314EEC"/>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39F1DCA"/>
    <w:rsid w:val="241530DF"/>
    <w:rsid w:val="244A244D"/>
    <w:rsid w:val="24AA3A0B"/>
    <w:rsid w:val="24BB5C18"/>
    <w:rsid w:val="24C83E91"/>
    <w:rsid w:val="24E7641E"/>
    <w:rsid w:val="25162E4E"/>
    <w:rsid w:val="254A62BB"/>
    <w:rsid w:val="2551032A"/>
    <w:rsid w:val="256911D0"/>
    <w:rsid w:val="25733F7D"/>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7DC54F9"/>
    <w:rsid w:val="28723FD3"/>
    <w:rsid w:val="288B76AF"/>
    <w:rsid w:val="28C46D67"/>
    <w:rsid w:val="28E62B38"/>
    <w:rsid w:val="28F22A1C"/>
    <w:rsid w:val="29025FC5"/>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4556DD"/>
    <w:rsid w:val="2C7F39CF"/>
    <w:rsid w:val="2C8A7DD3"/>
    <w:rsid w:val="2CAD22EA"/>
    <w:rsid w:val="2CC6549B"/>
    <w:rsid w:val="2CD51841"/>
    <w:rsid w:val="2CEC40B6"/>
    <w:rsid w:val="2CF25F4F"/>
    <w:rsid w:val="2D1C3C07"/>
    <w:rsid w:val="2D3A06C2"/>
    <w:rsid w:val="2D40315E"/>
    <w:rsid w:val="2D5C5ABE"/>
    <w:rsid w:val="2D742E08"/>
    <w:rsid w:val="2DAC07F4"/>
    <w:rsid w:val="2DAD00C8"/>
    <w:rsid w:val="2DB2761A"/>
    <w:rsid w:val="2DBE22D5"/>
    <w:rsid w:val="2DF95384"/>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8A1232"/>
    <w:rsid w:val="31AA504A"/>
    <w:rsid w:val="31CB3B06"/>
    <w:rsid w:val="31D16A7B"/>
    <w:rsid w:val="31EF6F01"/>
    <w:rsid w:val="31F167D5"/>
    <w:rsid w:val="322E42AD"/>
    <w:rsid w:val="32963820"/>
    <w:rsid w:val="32981347"/>
    <w:rsid w:val="329D4BAF"/>
    <w:rsid w:val="32EB1476"/>
    <w:rsid w:val="32F83B93"/>
    <w:rsid w:val="335812BA"/>
    <w:rsid w:val="336D27D3"/>
    <w:rsid w:val="33E362F7"/>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773A80"/>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252920"/>
    <w:rsid w:val="3B351F1C"/>
    <w:rsid w:val="3B491430"/>
    <w:rsid w:val="3B876595"/>
    <w:rsid w:val="3BDD601C"/>
    <w:rsid w:val="3C241E9D"/>
    <w:rsid w:val="3C552A24"/>
    <w:rsid w:val="3CB52AF5"/>
    <w:rsid w:val="3CDB07AE"/>
    <w:rsid w:val="3CE2527D"/>
    <w:rsid w:val="3D2F4655"/>
    <w:rsid w:val="3D622C7D"/>
    <w:rsid w:val="3D6D517E"/>
    <w:rsid w:val="3DBB4CCB"/>
    <w:rsid w:val="3E3F4D6C"/>
    <w:rsid w:val="3E877FC2"/>
    <w:rsid w:val="3E8F7AA2"/>
    <w:rsid w:val="3EA044DF"/>
    <w:rsid w:val="3EB166E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1631BE"/>
    <w:rsid w:val="418217D9"/>
    <w:rsid w:val="41A53138"/>
    <w:rsid w:val="41FD0523"/>
    <w:rsid w:val="42090B2C"/>
    <w:rsid w:val="422D27FD"/>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6AD1749"/>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79502F"/>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9A7642"/>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57444A"/>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35E24"/>
    <w:rsid w:val="561F5757"/>
    <w:rsid w:val="56625644"/>
    <w:rsid w:val="566969D2"/>
    <w:rsid w:val="56903F5F"/>
    <w:rsid w:val="570F1328"/>
    <w:rsid w:val="572A6162"/>
    <w:rsid w:val="5745587D"/>
    <w:rsid w:val="57607DD5"/>
    <w:rsid w:val="57673999"/>
    <w:rsid w:val="577720D4"/>
    <w:rsid w:val="57882E88"/>
    <w:rsid w:val="578F1331"/>
    <w:rsid w:val="57AF48B9"/>
    <w:rsid w:val="57B819BF"/>
    <w:rsid w:val="57C245EC"/>
    <w:rsid w:val="57CD3824"/>
    <w:rsid w:val="585D60C3"/>
    <w:rsid w:val="587B479B"/>
    <w:rsid w:val="589C6BEB"/>
    <w:rsid w:val="58D34740"/>
    <w:rsid w:val="58F76517"/>
    <w:rsid w:val="590D1897"/>
    <w:rsid w:val="59343F0C"/>
    <w:rsid w:val="59554FEC"/>
    <w:rsid w:val="597146D3"/>
    <w:rsid w:val="59AD712E"/>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ED6091"/>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01C7A"/>
    <w:rsid w:val="616A72E2"/>
    <w:rsid w:val="61EE4FF2"/>
    <w:rsid w:val="622C6936"/>
    <w:rsid w:val="623E641A"/>
    <w:rsid w:val="625B39D2"/>
    <w:rsid w:val="627D5CDF"/>
    <w:rsid w:val="627E5CE3"/>
    <w:rsid w:val="629B43B7"/>
    <w:rsid w:val="62B4342F"/>
    <w:rsid w:val="62F61991"/>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460813"/>
    <w:rsid w:val="66524D8D"/>
    <w:rsid w:val="665A551B"/>
    <w:rsid w:val="66805D9E"/>
    <w:rsid w:val="66915C71"/>
    <w:rsid w:val="66A22C94"/>
    <w:rsid w:val="66DB1226"/>
    <w:rsid w:val="66E8749F"/>
    <w:rsid w:val="67184F6B"/>
    <w:rsid w:val="67371E56"/>
    <w:rsid w:val="673D77EB"/>
    <w:rsid w:val="674C27FB"/>
    <w:rsid w:val="677B0314"/>
    <w:rsid w:val="67C10125"/>
    <w:rsid w:val="67E85125"/>
    <w:rsid w:val="67FD7022"/>
    <w:rsid w:val="683523F2"/>
    <w:rsid w:val="68774F7F"/>
    <w:rsid w:val="68DF23A7"/>
    <w:rsid w:val="69050959"/>
    <w:rsid w:val="699658D9"/>
    <w:rsid w:val="69C9180A"/>
    <w:rsid w:val="69EC72A7"/>
    <w:rsid w:val="6A16012B"/>
    <w:rsid w:val="6A1D56B2"/>
    <w:rsid w:val="6A372C18"/>
    <w:rsid w:val="6A671419"/>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A0845"/>
    <w:rsid w:val="6C6E6699"/>
    <w:rsid w:val="6CC369E5"/>
    <w:rsid w:val="6CCD7863"/>
    <w:rsid w:val="6D2156DB"/>
    <w:rsid w:val="6D341690"/>
    <w:rsid w:val="6D4F4126"/>
    <w:rsid w:val="6D7838A9"/>
    <w:rsid w:val="6DC742B3"/>
    <w:rsid w:val="6DD469CF"/>
    <w:rsid w:val="6DF606F4"/>
    <w:rsid w:val="6E361438"/>
    <w:rsid w:val="6E4C3167"/>
    <w:rsid w:val="6E565C82"/>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446673"/>
    <w:rsid w:val="70651B61"/>
    <w:rsid w:val="70710506"/>
    <w:rsid w:val="707E4486"/>
    <w:rsid w:val="708D1198"/>
    <w:rsid w:val="709A3F00"/>
    <w:rsid w:val="70A15EF2"/>
    <w:rsid w:val="70B14B83"/>
    <w:rsid w:val="70F17302"/>
    <w:rsid w:val="712E63F7"/>
    <w:rsid w:val="714B3183"/>
    <w:rsid w:val="715C2793"/>
    <w:rsid w:val="71816E6E"/>
    <w:rsid w:val="71BB412E"/>
    <w:rsid w:val="72115ECC"/>
    <w:rsid w:val="721F50D4"/>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9D14BE"/>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A036C2"/>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ED79CC"/>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Indent"/>
    <w:basedOn w:val="1"/>
    <w:link w:val="42"/>
    <w:qFormat/>
    <w:uiPriority w:val="99"/>
    <w:pPr>
      <w:spacing w:after="120"/>
      <w:ind w:left="420" w:leftChars="200"/>
    </w:pPr>
  </w:style>
  <w:style w:type="paragraph" w:styleId="16">
    <w:name w:val="Plain Text"/>
    <w:basedOn w:val="1"/>
    <w:link w:val="43"/>
    <w:qFormat/>
    <w:uiPriority w:val="0"/>
    <w:rPr>
      <w:rFonts w:ascii="宋体" w:hAnsi="Courier New" w:cs="宋体"/>
    </w:rPr>
  </w:style>
  <w:style w:type="paragraph" w:styleId="17">
    <w:name w:val="Date"/>
    <w:basedOn w:val="1"/>
    <w:next w:val="1"/>
    <w:link w:val="44"/>
    <w:qFormat/>
    <w:uiPriority w:val="99"/>
    <w:pPr>
      <w:ind w:left="100" w:leftChars="2500"/>
    </w:pPr>
  </w:style>
  <w:style w:type="paragraph" w:styleId="18">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5"/>
    <w:qFormat/>
    <w:locked/>
    <w:uiPriority w:val="99"/>
    <w:rPr>
      <w:kern w:val="2"/>
      <w:sz w:val="24"/>
      <w:szCs w:val="24"/>
    </w:rPr>
  </w:style>
  <w:style w:type="character" w:customStyle="1" w:styleId="43">
    <w:name w:val="纯文本 Char"/>
    <w:link w:val="16"/>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DCD2D1E6-C742-4B86-9CE5-3674E4ADCC7E}">
  <ds:schemaRefs/>
</ds:datastoreItem>
</file>

<file path=customXml/itemProps10.xml><?xml version="1.0" encoding="utf-8"?>
<ds:datastoreItem xmlns:ds="http://schemas.openxmlformats.org/officeDocument/2006/customXml" ds:itemID="{9AA6C34C-2934-4196-9AB4-74964D6C16FF}">
  <ds:schemaRefs/>
</ds:datastoreItem>
</file>

<file path=customXml/itemProps2.xml><?xml version="1.0" encoding="utf-8"?>
<ds:datastoreItem xmlns:ds="http://schemas.openxmlformats.org/officeDocument/2006/customXml" ds:itemID="{9873C647-F5F7-4D96-A294-D6BF7D670F5B}">
  <ds:schemaRefs/>
</ds:datastoreItem>
</file>

<file path=customXml/itemProps3.xml><?xml version="1.0" encoding="utf-8"?>
<ds:datastoreItem xmlns:ds="http://schemas.openxmlformats.org/officeDocument/2006/customXml" ds:itemID="{95A4CFE3-C15C-4021-8B5D-8CDB5835E86A}">
  <ds:schemaRefs/>
</ds:datastoreItem>
</file>

<file path=customXml/itemProps4.xml><?xml version="1.0" encoding="utf-8"?>
<ds:datastoreItem xmlns:ds="http://schemas.openxmlformats.org/officeDocument/2006/customXml" ds:itemID="{F9C2D663-9D8C-4690-8BAF-0167C6E22CBF}">
  <ds:schemaRefs/>
</ds:datastoreItem>
</file>

<file path=customXml/itemProps5.xml><?xml version="1.0" encoding="utf-8"?>
<ds:datastoreItem xmlns:ds="http://schemas.openxmlformats.org/officeDocument/2006/customXml" ds:itemID="{0627D30F-6F3F-484B-A8DA-AAC31322CCA4}">
  <ds:schemaRefs/>
</ds:datastoreItem>
</file>

<file path=customXml/itemProps6.xml><?xml version="1.0" encoding="utf-8"?>
<ds:datastoreItem xmlns:ds="http://schemas.openxmlformats.org/officeDocument/2006/customXml" ds:itemID="{D1B86D0A-ABF1-4F19-8099-5C2F0FC74F66}">
  <ds:schemaRefs/>
</ds:datastoreItem>
</file>

<file path=customXml/itemProps7.xml><?xml version="1.0" encoding="utf-8"?>
<ds:datastoreItem xmlns:ds="http://schemas.openxmlformats.org/officeDocument/2006/customXml" ds:itemID="{19224E77-174D-4DA6-88C6-4027E1D8D23A}">
  <ds:schemaRefs/>
</ds:datastoreItem>
</file>

<file path=customXml/itemProps8.xml><?xml version="1.0" encoding="utf-8"?>
<ds:datastoreItem xmlns:ds="http://schemas.openxmlformats.org/officeDocument/2006/customXml" ds:itemID="{95071FDB-6B9B-4F8F-821E-B2D06DA6EF25}">
  <ds:schemaRefs/>
</ds:datastoreItem>
</file>

<file path=customXml/itemProps9.xml><?xml version="1.0" encoding="utf-8"?>
<ds:datastoreItem xmlns:ds="http://schemas.openxmlformats.org/officeDocument/2006/customXml" ds:itemID="{BCB7B9A4-5771-4773-B0BF-58A4DB4DC65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1533</Words>
  <Characters>8744</Characters>
  <Lines>72</Lines>
  <Paragraphs>20</Paragraphs>
  <TotalTime>3</TotalTime>
  <ScaleCrop>false</ScaleCrop>
  <LinksUpToDate>false</LinksUpToDate>
  <CharactersWithSpaces>10257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2024-04-22T02:58:00Z</dcterms:created>
  <dc:creator>cdedu</dc:creator>
  <cp:lastModifiedBy>陈锐</cp:lastModifiedBy>
  <cp:lastPrinted>2025-04-01T01:29:54Z</cp:lastPrinted>
  <dcterms:modified xsi:type="dcterms:W3CDTF">2025-04-01T02:20:42Z</dcterms:modified>
  <dc:title>询价通知书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