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ascii="宋体" w:hAnsi="宋体" w:cs="宋体"/>
          <w:b/>
          <w:bCs/>
          <w:spacing w:val="-12"/>
          <w:sz w:val="48"/>
          <w:szCs w:val="48"/>
        </w:rPr>
      </w:pPr>
    </w:p>
    <w:p>
      <w:pPr>
        <w:jc w:val="center"/>
        <w:rPr>
          <w:rFonts w:ascii="宋体" w:hAnsi="宋体" w:cs="宋体"/>
          <w:b/>
          <w:bCs/>
          <w:spacing w:val="-12"/>
          <w:sz w:val="48"/>
          <w:szCs w:val="48"/>
        </w:rPr>
      </w:pPr>
      <w:r>
        <w:rPr>
          <w:rFonts w:hint="eastAsia" w:ascii="宋体" w:hAnsi="宋体" w:cs="宋体"/>
          <w:b/>
          <w:bCs/>
          <w:spacing w:val="-12"/>
          <w:sz w:val="48"/>
          <w:szCs w:val="48"/>
        </w:rPr>
        <w:t>资阳市中心医院消防管道改造采购项目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二五年一月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652"/>
      <w:bookmarkStart w:id="1" w:name="_Toc211679176"/>
      <w:bookmarkStart w:id="2" w:name="_Toc180296779"/>
      <w:bookmarkStart w:id="3" w:name="_Toc173895837"/>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资阳市中心医院</w:t>
      </w:r>
      <w:r>
        <w:rPr>
          <w:rFonts w:hint="eastAsia" w:ascii="宋体" w:hAnsi="宋体" w:cs="宋体"/>
          <w:b/>
          <w:bCs/>
          <w:kern w:val="0"/>
        </w:rPr>
        <w:t>拟对</w:t>
      </w:r>
      <w:r>
        <w:rPr>
          <w:rFonts w:hint="eastAsia" w:ascii="宋体" w:hAnsi="宋体" w:cs="宋体"/>
          <w:b/>
          <w:bCs/>
          <w:kern w:val="0"/>
          <w:u w:val="single"/>
        </w:rPr>
        <w:t>资阳市中心医院消防管道改造项目</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ascii="宋体" w:hAnsi="宋体" w:cs="宋体"/>
          <w:b/>
          <w:bCs/>
          <w:kern w:val="0"/>
        </w:rPr>
      </w:pPr>
      <w:r>
        <w:rPr>
          <w:rFonts w:hint="eastAsia" w:ascii="宋体" w:hAnsi="宋体" w:cs="宋体"/>
          <w:b/>
          <w:bCs/>
          <w:kern w:val="0"/>
        </w:rPr>
        <w:t>二、比选项目：资阳市中心医院消防管道改造项目采购项目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个包，采购资阳市中心医院消防管道改造项目。</w:t>
      </w:r>
      <w:r>
        <w:rPr>
          <w:rFonts w:hint="eastAsia" w:hAnsi="宋体"/>
          <w:kern w:val="0"/>
        </w:rPr>
        <w:t>本项目最高限价</w:t>
      </w:r>
      <w:r>
        <w:rPr>
          <w:rFonts w:hint="eastAsia"/>
          <w:lang w:val="en-US" w:eastAsia="zh-CN"/>
        </w:rPr>
        <w:t>9.9889</w:t>
      </w:r>
      <w:r>
        <w:t>万元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r>
        <w:rPr>
          <w:rFonts w:ascii="宋体" w:hAnsi="宋体" w:cs="宋体"/>
        </w:rPr>
        <w:t>2025年1月6日至2025年1月9日</w:t>
      </w:r>
      <w:r>
        <w:rPr>
          <w:rFonts w:hint="eastAsia" w:ascii="宋体" w:hAnsi="宋体" w:cs="宋体"/>
        </w:rPr>
        <w:t>，</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4" w:name="OLE_LINK1"/>
      <w:bookmarkStart w:id="5" w:name="OLE_LINK2"/>
      <w:r>
        <w:rPr>
          <w:rFonts w:hint="eastAsia" w:ascii="宋体" w:hAnsi="宋体" w:cs="宋体"/>
          <w:b/>
          <w:bCs/>
          <w:spacing w:val="-6"/>
          <w:kern w:val="0"/>
        </w:rPr>
        <w:t>递交比选申请文件截止时间</w:t>
      </w:r>
      <w:bookmarkEnd w:id="4"/>
      <w:bookmarkEnd w:id="5"/>
      <w:r>
        <w:rPr>
          <w:rFonts w:hint="eastAsia" w:ascii="宋体" w:hAnsi="宋体" w:cs="宋体"/>
          <w:b/>
          <w:bCs/>
          <w:spacing w:val="-6"/>
          <w:kern w:val="0"/>
        </w:rPr>
        <w:t>及评审时间：</w:t>
      </w:r>
      <w:r>
        <w:rPr>
          <w:rFonts w:ascii="宋体" w:hAnsi="宋体" w:cs="宋体"/>
          <w:spacing w:val="-6"/>
          <w:kern w:val="0"/>
        </w:rPr>
        <w:t>2025年1月10日1</w:t>
      </w:r>
      <w:r>
        <w:rPr>
          <w:rFonts w:hint="eastAsia" w:ascii="宋体" w:hAnsi="宋体" w:cs="宋体"/>
          <w:spacing w:val="-6"/>
          <w:kern w:val="0"/>
          <w:lang w:val="en-US" w:eastAsia="zh-CN"/>
        </w:rPr>
        <w:t>5</w:t>
      </w:r>
      <w:r>
        <w:rPr>
          <w:rFonts w:ascii="宋体" w:hAnsi="宋体" w:cs="宋体"/>
          <w:spacing w:val="-6"/>
          <w:kern w:val="0"/>
        </w:rPr>
        <w:t>：00</w:t>
      </w:r>
      <w:r>
        <w:rPr>
          <w:rFonts w:hint="eastAsia" w:ascii="宋体" w:hAnsi="宋体" w:cs="宋体"/>
          <w:spacing w:val="-6"/>
          <w:kern w:val="0"/>
        </w:rPr>
        <w:t>（北京时间），供应商应于递交比选申请文件截止时间之前当日将比选申请文件送达比选地点，逾期</w:t>
      </w:r>
      <w:bookmarkStart w:id="42" w:name="_GoBack"/>
      <w:bookmarkEnd w:id="42"/>
      <w:r>
        <w:rPr>
          <w:rFonts w:hint="eastAsia" w:ascii="宋体" w:hAnsi="宋体" w:cs="宋体"/>
          <w:spacing w:val="-6"/>
          <w:kern w:val="0"/>
        </w:rPr>
        <w:t>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6655128朱老师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6" w:name="_Toc180296780"/>
      <w:bookmarkStart w:id="7" w:name="_Toc173895653"/>
      <w:bookmarkStart w:id="8" w:name="_Toc173895838"/>
      <w:bookmarkStart w:id="9" w:name="_Toc211679177"/>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0" w:name="_Toc211679179"/>
      <w:bookmarkStart w:id="11" w:name="_Toc173895840"/>
      <w:bookmarkStart w:id="12" w:name="_Toc173895655"/>
      <w:bookmarkStart w:id="13" w:name="_Toc180296782"/>
      <w:r>
        <w:rPr>
          <w:rFonts w:hint="eastAsia" w:ascii="宋体" w:hAnsi="宋体" w:cs="宋体"/>
          <w:kern w:val="0"/>
        </w:rPr>
        <w:t xml:space="preserve"> 供应商资格证明</w:t>
      </w:r>
      <w:bookmarkEnd w:id="10"/>
      <w:bookmarkEnd w:id="11"/>
      <w:bookmarkEnd w:id="12"/>
      <w:bookmarkEnd w:id="13"/>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技术要求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文件十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2.3、密封袋按“比选文件”内容，在正面载明：“2025年**月**日**：**前请勿启封”之字样；密封袋供应商名称及密封条处须加盖供应商鲜章。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4" w:name="_Toc115628325"/>
      <w:bookmarkStart w:id="15" w:name="_Toc177466666"/>
      <w:bookmarkStart w:id="16" w:name="_Toc210211733"/>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w:t>
      </w:r>
      <w:r>
        <w:rPr>
          <w:rFonts w:hint="eastAsia" w:ascii="宋体" w:hAnsi="宋体" w:cs="宋体"/>
          <w:kern w:val="0"/>
          <w:u w:val="single"/>
        </w:rPr>
        <w:t>最低价评标法</w:t>
      </w:r>
      <w:r>
        <w:rPr>
          <w:rFonts w:hint="eastAsia" w:ascii="宋体" w:hAnsi="宋体" w:cs="宋体"/>
          <w:kern w:val="0"/>
        </w:rPr>
        <w:t>，评审小组按照报价由低到高的顺序推荐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pPr>
        <w:spacing w:line="360" w:lineRule="auto"/>
        <w:ind w:firstLine="403" w:firstLineChars="192"/>
        <w:rPr>
          <w:rFonts w:ascii="宋体" w:hAnsi="宋体" w:cs="宋体"/>
          <w:b/>
          <w:kern w:val="0"/>
        </w:rPr>
      </w:pPr>
      <w:bookmarkStart w:id="17" w:name="_Toc508279863"/>
      <w:r>
        <w:rPr>
          <w:rFonts w:hint="eastAsia" w:ascii="宋体" w:hAnsi="宋体" w:cs="宋体"/>
          <w:b/>
          <w:kern w:val="0"/>
        </w:rPr>
        <w:t>3、 资格性审查。</w:t>
      </w:r>
      <w:bookmarkEnd w:id="17"/>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18"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18"/>
    </w:p>
    <w:p>
      <w:pPr>
        <w:spacing w:line="360" w:lineRule="auto"/>
        <w:ind w:firstLine="403" w:firstLineChars="192"/>
        <w:rPr>
          <w:rFonts w:ascii="宋体" w:hAnsi="宋体" w:cs="宋体"/>
          <w:kern w:val="0"/>
        </w:rPr>
      </w:pPr>
      <w:bookmarkStart w:id="19" w:name="_Toc508279865"/>
      <w:r>
        <w:rPr>
          <w:rFonts w:hint="eastAsia" w:ascii="宋体" w:hAnsi="宋体" w:cs="宋体"/>
          <w:kern w:val="0"/>
        </w:rPr>
        <w:t>3.2资格性审查结束后，出具资格性审查表。</w:t>
      </w:r>
      <w:bookmarkEnd w:id="19"/>
    </w:p>
    <w:p>
      <w:pPr>
        <w:spacing w:line="360" w:lineRule="auto"/>
        <w:ind w:firstLine="403" w:firstLineChars="192"/>
        <w:rPr>
          <w:rFonts w:ascii="宋体" w:hAnsi="宋体" w:cs="宋体"/>
          <w:kern w:val="0"/>
        </w:rPr>
      </w:pPr>
      <w:bookmarkStart w:id="20"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0"/>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1" w:name="_Toc508279868"/>
      <w:r>
        <w:rPr>
          <w:rFonts w:hint="eastAsia" w:ascii="宋体" w:hAnsi="宋体" w:cs="宋体"/>
          <w:kern w:val="0"/>
        </w:rPr>
        <w:t>3.4通过资格性审查的供应商</w:t>
      </w:r>
      <w:r>
        <w:rPr>
          <w:rFonts w:hint="eastAsia" w:ascii="宋体" w:hAnsi="宋体" w:cs="宋体"/>
          <w:b/>
          <w:bCs/>
          <w:kern w:val="0"/>
        </w:rPr>
        <w:t>不足</w:t>
      </w:r>
      <w:r>
        <w:rPr>
          <w:rFonts w:hint="eastAsia" w:ascii="宋体" w:hAnsi="宋体" w:cs="宋体"/>
          <w:b/>
          <w:bCs/>
          <w:kern w:val="0"/>
          <w:u w:val="single"/>
        </w:rPr>
        <w:t>3</w:t>
      </w:r>
      <w:r>
        <w:rPr>
          <w:rFonts w:hint="eastAsia" w:ascii="宋体" w:hAnsi="宋体" w:cs="宋体"/>
          <w:b/>
          <w:bCs/>
          <w:kern w:val="0"/>
        </w:rPr>
        <w:t>家的</w:t>
      </w:r>
      <w:r>
        <w:rPr>
          <w:rFonts w:hint="eastAsia" w:ascii="宋体" w:hAnsi="宋体" w:cs="宋体"/>
          <w:kern w:val="0"/>
        </w:rPr>
        <w:t>，终止本次采购活动，并发布终止采购活动公告。</w:t>
      </w:r>
      <w:bookmarkEnd w:id="21"/>
    </w:p>
    <w:p>
      <w:pPr>
        <w:spacing w:line="360" w:lineRule="auto"/>
        <w:ind w:firstLine="403" w:firstLineChars="19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w:t>
      </w:r>
      <w:r>
        <w:rPr>
          <w:rFonts w:hint="eastAsia" w:ascii="宋体" w:hAnsi="宋体" w:cs="宋体"/>
          <w:b/>
          <w:bCs/>
          <w:kern w:val="0"/>
        </w:rPr>
        <w:t>不得少于</w:t>
      </w:r>
      <w:r>
        <w:rPr>
          <w:rFonts w:hint="eastAsia" w:ascii="宋体" w:hAnsi="宋体" w:cs="宋体"/>
          <w:b/>
          <w:bCs/>
          <w:kern w:val="0"/>
          <w:u w:val="single"/>
        </w:rPr>
        <w:t>3</w:t>
      </w:r>
      <w:r>
        <w:rPr>
          <w:rFonts w:hint="eastAsia" w:ascii="宋体" w:hAnsi="宋体" w:cs="宋体"/>
          <w:b/>
          <w:bCs/>
          <w:kern w:val="0"/>
        </w:rPr>
        <w:t>家</w:t>
      </w:r>
      <w:r>
        <w:rPr>
          <w:rFonts w:hint="eastAsia" w:ascii="宋体" w:hAnsi="宋体" w:cs="宋体"/>
          <w:kern w:val="0"/>
        </w:rPr>
        <w:t>。</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6"/>
      <w:bookmarkEnd w:id="7"/>
      <w:bookmarkEnd w:id="8"/>
      <w:bookmarkEnd w:id="9"/>
      <w:bookmarkEnd w:id="14"/>
      <w:bookmarkEnd w:id="15"/>
      <w:bookmarkEnd w:id="16"/>
      <w:bookmarkStart w:id="22" w:name="_Toc173895657"/>
      <w:bookmarkStart w:id="23" w:name="_Toc180296784"/>
      <w:bookmarkStart w:id="24" w:name="_Toc211679181"/>
      <w:bookmarkStart w:id="25" w:name="_Toc173895842"/>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2"/>
      <w:bookmarkEnd w:id="23"/>
      <w:bookmarkEnd w:id="24"/>
      <w:bookmarkEnd w:id="25"/>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pStyle w:val="2"/>
        <w:rPr>
          <w:rFonts w:ascii="宋体"/>
          <w:b/>
          <w:bCs/>
        </w:rPr>
      </w:pPr>
      <w:r>
        <w:rPr>
          <w:rFonts w:hint="eastAsia" w:ascii="宋体"/>
          <w:b/>
        </w:rPr>
        <w:t xml:space="preserve">★一、 </w:t>
      </w:r>
      <w:r>
        <w:rPr>
          <w:rFonts w:hint="eastAsia" w:ascii="宋体"/>
          <w:b/>
          <w:bCs/>
        </w:rPr>
        <w:t>服务内容</w:t>
      </w:r>
    </w:p>
    <w:p>
      <w:pPr>
        <w:pStyle w:val="2"/>
        <w:rPr>
          <w:rFonts w:ascii="宋体"/>
        </w:rPr>
      </w:pPr>
      <w:r>
        <w:rPr>
          <w:rFonts w:hint="eastAsia" w:ascii="宋体"/>
        </w:rPr>
        <w:t>为保障我院四期建设项目正常开展，拟改造我院医技楼级康复楼之间消防管道，具体项目情况见比选文件。</w:t>
      </w:r>
    </w:p>
    <w:p>
      <w:pPr>
        <w:pStyle w:val="2"/>
        <w:rPr>
          <w:rFonts w:ascii="宋体"/>
        </w:rPr>
      </w:pPr>
      <w:r>
        <w:rPr>
          <w:rFonts w:hint="eastAsia" w:ascii="宋体"/>
        </w:rPr>
        <w:t>如需实地勘察及了解项目详情可咨询，安全保卫部：赵万云波，联系方式18982980980。</w:t>
      </w:r>
    </w:p>
    <w:tbl>
      <w:tblPr>
        <w:tblStyle w:val="27"/>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3922"/>
        <w:gridCol w:w="1607"/>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pStyle w:val="2"/>
              <w:rPr>
                <w:rFonts w:ascii="宋体"/>
              </w:rPr>
            </w:pPr>
            <w:r>
              <w:rPr>
                <w:rFonts w:hint="eastAsia" w:ascii="宋体"/>
              </w:rPr>
              <w:t>序号</w:t>
            </w:r>
          </w:p>
        </w:tc>
        <w:tc>
          <w:tcPr>
            <w:tcW w:w="3922" w:type="dxa"/>
            <w:vAlign w:val="center"/>
          </w:tcPr>
          <w:p>
            <w:pPr>
              <w:pStyle w:val="2"/>
              <w:rPr>
                <w:rFonts w:ascii="宋体"/>
              </w:rPr>
            </w:pPr>
            <w:r>
              <w:rPr>
                <w:rFonts w:hint="eastAsia" w:ascii="宋体"/>
              </w:rPr>
              <w:t>服务内容</w:t>
            </w:r>
          </w:p>
        </w:tc>
        <w:tc>
          <w:tcPr>
            <w:tcW w:w="1607" w:type="dxa"/>
            <w:vAlign w:val="center"/>
          </w:tcPr>
          <w:p>
            <w:pPr>
              <w:pStyle w:val="2"/>
              <w:rPr>
                <w:rFonts w:ascii="宋体"/>
              </w:rPr>
            </w:pPr>
            <w:r>
              <w:rPr>
                <w:rFonts w:hint="eastAsia" w:ascii="宋体"/>
              </w:rPr>
              <w:t>最高限价</w:t>
            </w:r>
          </w:p>
          <w:p>
            <w:pPr>
              <w:pStyle w:val="2"/>
              <w:rPr>
                <w:rFonts w:ascii="宋体"/>
              </w:rPr>
            </w:pPr>
            <w:r>
              <w:rPr>
                <w:rFonts w:hint="eastAsia" w:ascii="宋体"/>
              </w:rPr>
              <w:t>（万元）</w:t>
            </w:r>
          </w:p>
        </w:tc>
        <w:tc>
          <w:tcPr>
            <w:tcW w:w="1990" w:type="dxa"/>
            <w:vAlign w:val="center"/>
          </w:tcPr>
          <w:p>
            <w:pPr>
              <w:pStyle w:val="2"/>
              <w:rPr>
                <w:rFonts w:ascii="宋体"/>
              </w:rPr>
            </w:pPr>
            <w:r>
              <w:rPr>
                <w:rFonts w:hint="eastAsia" w:asci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2" w:type="dxa"/>
            <w:vAlign w:val="center"/>
          </w:tcPr>
          <w:p>
            <w:pPr>
              <w:pStyle w:val="2"/>
              <w:rPr>
                <w:rFonts w:ascii="宋体"/>
              </w:rPr>
            </w:pPr>
            <w:r>
              <w:rPr>
                <w:rFonts w:hint="eastAsia" w:ascii="宋体"/>
              </w:rPr>
              <w:t>1</w:t>
            </w:r>
          </w:p>
        </w:tc>
        <w:tc>
          <w:tcPr>
            <w:tcW w:w="3922" w:type="dxa"/>
            <w:vAlign w:val="center"/>
          </w:tcPr>
          <w:p>
            <w:pPr>
              <w:pStyle w:val="2"/>
              <w:rPr>
                <w:rFonts w:ascii="宋体"/>
              </w:rPr>
            </w:pPr>
            <w:r>
              <w:rPr>
                <w:rFonts w:hint="eastAsia" w:ascii="宋体"/>
              </w:rPr>
              <w:t>消防管道改造项目</w:t>
            </w:r>
          </w:p>
        </w:tc>
        <w:tc>
          <w:tcPr>
            <w:tcW w:w="1607" w:type="dxa"/>
            <w:vAlign w:val="center"/>
          </w:tcPr>
          <w:p>
            <w:pPr>
              <w:pStyle w:val="2"/>
              <w:rPr>
                <w:rFonts w:ascii="宋体"/>
              </w:rPr>
            </w:pPr>
            <w:r>
              <w:rPr>
                <w:rFonts w:hint="eastAsia" w:ascii="宋体"/>
              </w:rPr>
              <w:t>9.9889</w:t>
            </w:r>
          </w:p>
        </w:tc>
        <w:tc>
          <w:tcPr>
            <w:tcW w:w="1990" w:type="dxa"/>
            <w:vAlign w:val="center"/>
          </w:tcPr>
          <w:p>
            <w:pPr>
              <w:pStyle w:val="2"/>
              <w:rPr>
                <w:rFonts w:ascii="宋体"/>
              </w:rPr>
            </w:pPr>
          </w:p>
        </w:tc>
      </w:tr>
    </w:tbl>
    <w:p>
      <w:pPr>
        <w:pStyle w:val="2"/>
        <w:rPr>
          <w:rFonts w:ascii="宋体"/>
          <w:b/>
          <w:bCs/>
        </w:rPr>
      </w:pPr>
      <w:r>
        <w:rPr>
          <w:rFonts w:hint="eastAsia" w:ascii="宋体"/>
          <w:b/>
          <w:bCs/>
        </w:rPr>
        <w:t>预估工程量清单：</w:t>
      </w:r>
    </w:p>
    <w:p>
      <w:pPr>
        <w:pStyle w:val="2"/>
        <w:rPr>
          <w:rFonts w:ascii="宋体"/>
        </w:rPr>
      </w:pPr>
      <w:r>
        <w:rPr>
          <w:rFonts w:hint="eastAsia" w:ascii="宋体"/>
        </w:rPr>
        <w:t>1、消火栓水泵接合器(2台，型号DN150)</w:t>
      </w:r>
    </w:p>
    <w:p>
      <w:pPr>
        <w:pStyle w:val="2"/>
        <w:rPr>
          <w:rFonts w:ascii="宋体"/>
        </w:rPr>
      </w:pPr>
      <w:r>
        <w:rPr>
          <w:rFonts w:hint="eastAsia" w:ascii="宋体"/>
        </w:rPr>
        <w:t>2、喷淋水泵接合器（2台，型号DN150）</w:t>
      </w:r>
    </w:p>
    <w:p>
      <w:pPr>
        <w:pStyle w:val="2"/>
        <w:rPr>
          <w:rFonts w:ascii="宋体"/>
        </w:rPr>
      </w:pPr>
      <w:r>
        <w:rPr>
          <w:rFonts w:hint="eastAsia" w:ascii="宋体"/>
        </w:rPr>
        <w:t>3、镀锌钢管（60米，型号DN200）</w:t>
      </w:r>
    </w:p>
    <w:p>
      <w:pPr>
        <w:pStyle w:val="2"/>
        <w:rPr>
          <w:rFonts w:ascii="宋体"/>
        </w:rPr>
      </w:pPr>
      <w:r>
        <w:rPr>
          <w:rFonts w:hint="eastAsia" w:ascii="宋体"/>
        </w:rPr>
        <w:t>4、镀锌钢管（100米，型号DN150）</w:t>
      </w:r>
    </w:p>
    <w:p>
      <w:pPr>
        <w:pStyle w:val="2"/>
        <w:rPr>
          <w:rFonts w:ascii="宋体"/>
        </w:rPr>
      </w:pPr>
      <w:r>
        <w:rPr>
          <w:rFonts w:hint="eastAsia" w:ascii="宋体"/>
        </w:rPr>
        <w:t>5、镀锌钢管（100米，型号DN100）</w:t>
      </w:r>
    </w:p>
    <w:p>
      <w:pPr>
        <w:pStyle w:val="2"/>
        <w:rPr>
          <w:rFonts w:ascii="宋体"/>
        </w:rPr>
      </w:pPr>
      <w:r>
        <w:rPr>
          <w:rFonts w:hint="eastAsia" w:ascii="宋体"/>
        </w:rPr>
        <w:t>6、闸阀（2台，型号DN150）</w:t>
      </w:r>
    </w:p>
    <w:p>
      <w:pPr>
        <w:pStyle w:val="2"/>
        <w:rPr>
          <w:rFonts w:ascii="宋体"/>
        </w:rPr>
      </w:pPr>
      <w:r>
        <w:rPr>
          <w:rFonts w:hint="eastAsia" w:ascii="宋体"/>
        </w:rPr>
        <w:t>7、闸阀（2台，型号DN200）</w:t>
      </w:r>
    </w:p>
    <w:p>
      <w:pPr>
        <w:pStyle w:val="2"/>
        <w:rPr>
          <w:rFonts w:ascii="宋体"/>
        </w:rPr>
      </w:pPr>
      <w:r>
        <w:rPr>
          <w:rFonts w:hint="eastAsia" w:ascii="宋体"/>
        </w:rPr>
        <w:t>8、止回阀（2台，型号DN150）</w:t>
      </w:r>
    </w:p>
    <w:p>
      <w:pPr>
        <w:pStyle w:val="2"/>
        <w:rPr>
          <w:rFonts w:ascii="宋体"/>
        </w:rPr>
      </w:pPr>
      <w:r>
        <w:rPr>
          <w:rFonts w:hint="eastAsia" w:ascii="宋体"/>
        </w:rPr>
        <w:t>9、桥架（100米，型号50×50）</w:t>
      </w:r>
    </w:p>
    <w:p>
      <w:pPr>
        <w:pStyle w:val="2"/>
        <w:rPr>
          <w:rFonts w:ascii="宋体"/>
        </w:rPr>
      </w:pPr>
      <w:r>
        <w:rPr>
          <w:rFonts w:hint="eastAsia" w:ascii="宋体"/>
        </w:rPr>
        <w:t>10、多股电缆（100米，型号KVV-1.5×56芯）</w:t>
      </w:r>
    </w:p>
    <w:p>
      <w:pPr>
        <w:pStyle w:val="2"/>
        <w:rPr>
          <w:rFonts w:ascii="宋体"/>
        </w:rPr>
      </w:pPr>
      <w:r>
        <w:rPr>
          <w:rFonts w:hint="eastAsia" w:ascii="宋体"/>
        </w:rPr>
        <w:t>11、端子箱（2个，600×500，40端子）</w:t>
      </w:r>
    </w:p>
    <w:p>
      <w:pPr>
        <w:pStyle w:val="2"/>
        <w:rPr>
          <w:rFonts w:ascii="宋体"/>
        </w:rPr>
      </w:pPr>
      <w:r>
        <w:rPr>
          <w:rFonts w:hint="eastAsia" w:ascii="宋体"/>
        </w:rPr>
        <w:t>12、挖沟回填（60米）</w:t>
      </w:r>
    </w:p>
    <w:p>
      <w:pPr>
        <w:pStyle w:val="2"/>
        <w:rPr>
          <w:rFonts w:ascii="宋体"/>
        </w:rPr>
      </w:pPr>
      <w:r>
        <w:rPr>
          <w:rFonts w:hint="eastAsia" w:ascii="宋体"/>
        </w:rPr>
        <w:t>13、砌井（1口）</w:t>
      </w:r>
    </w:p>
    <w:p>
      <w:pPr>
        <w:pStyle w:val="2"/>
        <w:rPr>
          <w:rFonts w:ascii="宋体"/>
        </w:rPr>
      </w:pPr>
      <w:r>
        <w:rPr>
          <w:rFonts w:hint="eastAsia" w:ascii="宋体"/>
        </w:rPr>
        <w:t>14、人工费</w:t>
      </w:r>
    </w:p>
    <w:p>
      <w:pPr>
        <w:pStyle w:val="2"/>
        <w:rPr>
          <w:rFonts w:ascii="宋体"/>
          <w:b/>
        </w:rPr>
      </w:pPr>
      <w:r>
        <w:rPr>
          <w:rFonts w:hint="eastAsia" w:ascii="宋体"/>
          <w:b/>
        </w:rPr>
        <w:t>★二、技术服务要求</w:t>
      </w:r>
    </w:p>
    <w:p>
      <w:pPr>
        <w:pStyle w:val="2"/>
        <w:rPr>
          <w:rFonts w:ascii="宋体"/>
        </w:rPr>
      </w:pPr>
      <w:bookmarkStart w:id="26" w:name="_Toc54893605"/>
      <w:bookmarkStart w:id="27" w:name="_Toc3363731"/>
      <w:r>
        <w:rPr>
          <w:rFonts w:hint="eastAsia" w:ascii="宋体"/>
        </w:rPr>
        <w:t>改造完成后对所有消防设施进行调试，确保能正常运行（如消防管道泄压后重新打压测试，原消防系统不漏水）。</w:t>
      </w:r>
    </w:p>
    <w:p>
      <w:pPr>
        <w:pStyle w:val="2"/>
        <w:rPr>
          <w:rFonts w:ascii="宋体"/>
          <w:b/>
          <w:bCs/>
          <w:iCs/>
        </w:rPr>
      </w:pPr>
      <w:r>
        <w:rPr>
          <w:rFonts w:hint="eastAsia" w:ascii="宋体"/>
          <w:b/>
          <w:bCs/>
          <w:iCs/>
        </w:rPr>
        <w:t>★三、商务要求</w:t>
      </w:r>
      <w:bookmarkEnd w:id="26"/>
      <w:bookmarkEnd w:id="27"/>
    </w:p>
    <w:p>
      <w:pPr>
        <w:pStyle w:val="2"/>
        <w:rPr>
          <w:rFonts w:ascii="宋体"/>
          <w:b/>
          <w:bCs/>
          <w:iCs/>
        </w:rPr>
      </w:pPr>
      <w:r>
        <w:rPr>
          <w:rFonts w:hint="eastAsia" w:ascii="宋体"/>
          <w:b/>
          <w:bCs/>
          <w:iCs/>
        </w:rPr>
        <w:t>3.1 工期期限</w:t>
      </w:r>
    </w:p>
    <w:p>
      <w:pPr>
        <w:pStyle w:val="2"/>
        <w:rPr>
          <w:rFonts w:ascii="宋体"/>
        </w:rPr>
      </w:pPr>
      <w:r>
        <w:rPr>
          <w:rFonts w:hint="eastAsia" w:ascii="宋体"/>
        </w:rPr>
        <w:t>合同签订后接甲方通知后30日内。</w:t>
      </w:r>
    </w:p>
    <w:p>
      <w:pPr>
        <w:pStyle w:val="2"/>
        <w:rPr>
          <w:rFonts w:ascii="宋体"/>
          <w:b/>
          <w:bCs/>
          <w:iCs/>
        </w:rPr>
      </w:pPr>
      <w:r>
        <w:rPr>
          <w:rFonts w:hint="eastAsia" w:ascii="宋体"/>
          <w:b/>
          <w:bCs/>
          <w:iCs/>
        </w:rPr>
        <w:t>3.2 服务地点</w:t>
      </w:r>
    </w:p>
    <w:p>
      <w:pPr>
        <w:pStyle w:val="2"/>
        <w:rPr>
          <w:rFonts w:ascii="宋体"/>
        </w:rPr>
      </w:pPr>
      <w:r>
        <w:rPr>
          <w:rFonts w:hint="eastAsia" w:ascii="宋体"/>
        </w:rPr>
        <w:t>服务地点：资阳市中心医院。</w:t>
      </w:r>
    </w:p>
    <w:p>
      <w:pPr>
        <w:pStyle w:val="2"/>
        <w:rPr>
          <w:rFonts w:ascii="宋体"/>
          <w:b/>
          <w:bCs/>
          <w:iCs/>
        </w:rPr>
      </w:pPr>
      <w:r>
        <w:rPr>
          <w:rFonts w:hint="eastAsia" w:ascii="宋体"/>
          <w:b/>
          <w:bCs/>
          <w:iCs/>
        </w:rPr>
        <w:t>3.3 付款方式</w:t>
      </w:r>
    </w:p>
    <w:p>
      <w:pPr>
        <w:pStyle w:val="2"/>
        <w:rPr>
          <w:rFonts w:ascii="宋体"/>
        </w:rPr>
      </w:pPr>
      <w:r>
        <w:rPr>
          <w:rFonts w:hint="eastAsia" w:ascii="宋体"/>
        </w:rPr>
        <w:t>完成工程改造，并调试院区消防系统运行正常后，90日内支付全款。</w:t>
      </w:r>
    </w:p>
    <w:p>
      <w:pPr>
        <w:pStyle w:val="2"/>
        <w:rPr>
          <w:rFonts w:ascii="宋体"/>
          <w:u w:val="single"/>
        </w:rPr>
      </w:pPr>
      <w:r>
        <w:rPr>
          <w:rFonts w:hint="eastAsia" w:ascii="宋体"/>
          <w:u w:val="single"/>
        </w:rPr>
        <w:t>特别说明：付款金额实际结算时我院审计部将组织审计验收，以审计验收清单为准，实际结算金额不得超出中标供应商最终报价金额。</w:t>
      </w:r>
    </w:p>
    <w:p>
      <w:pPr>
        <w:pStyle w:val="2"/>
        <w:rPr>
          <w:rFonts w:ascii="宋体"/>
          <w:b/>
          <w:bCs/>
          <w:iCs/>
        </w:rPr>
      </w:pPr>
      <w:r>
        <w:rPr>
          <w:rFonts w:hint="eastAsia" w:ascii="宋体"/>
          <w:b/>
          <w:bCs/>
          <w:iCs/>
        </w:rPr>
        <w:t>3.4其他要求：</w:t>
      </w:r>
    </w:p>
    <w:p>
      <w:pPr>
        <w:pStyle w:val="2"/>
        <w:rPr>
          <w:rFonts w:ascii="宋体"/>
        </w:rPr>
      </w:pPr>
      <w:r>
        <w:rPr>
          <w:rFonts w:hint="eastAsia" w:ascii="宋体"/>
        </w:rPr>
        <w:t>1、具备消防施工专业承包资质(二级及以上)。</w:t>
      </w:r>
    </w:p>
    <w:p>
      <w:pPr>
        <w:pStyle w:val="2"/>
      </w:pPr>
      <w:r>
        <w:rPr>
          <w:rFonts w:hint="eastAsia" w:ascii="宋体"/>
        </w:rPr>
        <w:t>2、需提供营业执照复印件一份，原件备查。</w:t>
      </w:r>
      <w:r>
        <w:rPr>
          <w:rFonts w:hint="eastAsia" w:ascii="宋体"/>
        </w:rPr>
        <w:tab/>
      </w:r>
      <w: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73895658"/>
      <w:bookmarkStart w:id="29" w:name="_Toc173895846"/>
      <w:bookmarkStart w:id="30" w:name="_Toc180296788"/>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180296789"/>
      <w:bookmarkStart w:id="33" w:name="_Toc211679186"/>
      <w:bookmarkStart w:id="34" w:name="_Toc173895659"/>
      <w:bookmarkStart w:id="35" w:name="_Toc173895847"/>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spacing w:line="360" w:lineRule="auto"/>
        <w:ind w:firstLine="420" w:firstLineChars="200"/>
        <w:jc w:val="left"/>
        <w:rPr>
          <w:rFonts w:ascii="宋体" w:hAnsi="宋体" w:cs="宋体"/>
          <w:kern w:val="0"/>
        </w:rPr>
      </w:pPr>
      <w:r>
        <w:rPr>
          <w:rFonts w:hint="eastAsia" w:ascii="宋体" w:hAnsi="宋体" w:cs="宋体"/>
          <w:kern w:val="0"/>
        </w:rPr>
        <w:t>包号：</w:t>
      </w:r>
      <w:r>
        <w:rPr>
          <w:rFonts w:ascii="宋体" w:hAnsi="宋体" w:cs="宋体"/>
          <w:kern w:val="0"/>
        </w:rPr>
        <w:t>XXX</w:t>
      </w:r>
    </w:p>
    <w:tbl>
      <w:tblPr>
        <w:tblStyle w:val="27"/>
        <w:tblW w:w="5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54"/>
        <w:gridCol w:w="727"/>
        <w:gridCol w:w="873"/>
        <w:gridCol w:w="869"/>
        <w:gridCol w:w="1600"/>
        <w:gridCol w:w="1184"/>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8" w:type="pct"/>
            <w:vAlign w:val="center"/>
          </w:tcPr>
          <w:p>
            <w:pPr>
              <w:widowControl/>
              <w:spacing w:line="360" w:lineRule="atLeast"/>
              <w:jc w:val="center"/>
              <w:rPr>
                <w:rFonts w:asciiTheme="majorEastAsia" w:hAnsiTheme="majorEastAsia" w:eastAsiaTheme="majorEastAsia"/>
                <w:sz w:val="16"/>
                <w:szCs w:val="16"/>
              </w:rPr>
            </w:pPr>
            <w:bookmarkStart w:id="36" w:name="_Hlk187074592"/>
            <w:r>
              <w:rPr>
                <w:rFonts w:hint="eastAsia" w:asciiTheme="majorEastAsia" w:hAnsiTheme="majorEastAsia" w:eastAsiaTheme="majorEastAsia"/>
                <w:sz w:val="16"/>
                <w:szCs w:val="16"/>
              </w:rPr>
              <w:t>序号</w:t>
            </w:r>
          </w:p>
        </w:tc>
        <w:tc>
          <w:tcPr>
            <w:tcW w:w="715" w:type="pct"/>
            <w:vAlign w:val="center"/>
          </w:tcPr>
          <w:p>
            <w:pPr>
              <w:widowControl/>
              <w:spacing w:line="360" w:lineRule="atLeast"/>
              <w:jc w:val="center"/>
              <w:rPr>
                <w:rFonts w:asciiTheme="majorEastAsia" w:hAnsiTheme="majorEastAsia" w:eastAsiaTheme="majorEastAsia"/>
                <w:b/>
                <w:sz w:val="16"/>
                <w:szCs w:val="16"/>
              </w:rPr>
            </w:pPr>
            <w:r>
              <w:rPr>
                <w:rFonts w:hint="eastAsia" w:asciiTheme="majorEastAsia" w:hAnsiTheme="majorEastAsia" w:eastAsiaTheme="majorEastAsia"/>
                <w:sz w:val="16"/>
                <w:szCs w:val="16"/>
              </w:rPr>
              <w:t>预计更换项目</w:t>
            </w:r>
          </w:p>
        </w:tc>
        <w:tc>
          <w:tcPr>
            <w:tcW w:w="384" w:type="pct"/>
            <w:vAlign w:val="center"/>
          </w:tcPr>
          <w:p>
            <w:pPr>
              <w:widowControl/>
              <w:spacing w:line="360" w:lineRule="atLeast"/>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型号</w:t>
            </w:r>
          </w:p>
        </w:tc>
        <w:tc>
          <w:tcPr>
            <w:tcW w:w="461" w:type="pct"/>
            <w:vAlign w:val="center"/>
          </w:tcPr>
          <w:p>
            <w:pPr>
              <w:widowControl/>
              <w:spacing w:line="360" w:lineRule="atLeast"/>
              <w:ind w:left="-8" w:leftChars="-4" w:firstLine="56" w:firstLineChars="35"/>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单位</w:t>
            </w:r>
          </w:p>
        </w:tc>
        <w:tc>
          <w:tcPr>
            <w:tcW w:w="459" w:type="pct"/>
            <w:vAlign w:val="center"/>
          </w:tcPr>
          <w:p>
            <w:pPr>
              <w:widowControl/>
              <w:spacing w:line="360" w:lineRule="atLeast"/>
              <w:ind w:left="-8" w:leftChars="-4" w:firstLine="56" w:firstLineChars="35"/>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数量</w:t>
            </w:r>
          </w:p>
        </w:tc>
        <w:tc>
          <w:tcPr>
            <w:tcW w:w="845" w:type="pct"/>
            <w:vAlign w:val="center"/>
          </w:tcPr>
          <w:p>
            <w:pPr>
              <w:widowControl/>
              <w:spacing w:line="360" w:lineRule="atLeast"/>
              <w:ind w:left="-8" w:leftChars="-4" w:firstLine="56" w:firstLineChars="35"/>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单价</w:t>
            </w:r>
          </w:p>
        </w:tc>
        <w:tc>
          <w:tcPr>
            <w:tcW w:w="625" w:type="pct"/>
            <w:vAlign w:val="center"/>
          </w:tcPr>
          <w:p>
            <w:pPr>
              <w:widowControl/>
              <w:spacing w:line="360" w:lineRule="atLeast"/>
              <w:ind w:left="-8" w:leftChars="-4" w:firstLine="56" w:firstLineChars="35"/>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合计</w:t>
            </w:r>
          </w:p>
        </w:tc>
        <w:tc>
          <w:tcPr>
            <w:tcW w:w="1153" w:type="pct"/>
            <w:vAlign w:val="center"/>
          </w:tcPr>
          <w:p>
            <w:pPr>
              <w:widowControl/>
              <w:spacing w:line="360" w:lineRule="atLeast"/>
              <w:ind w:left="-8" w:leftChars="-4" w:firstLine="56" w:firstLineChars="35"/>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8" w:type="pct"/>
          </w:tcPr>
          <w:p>
            <w:pPr>
              <w:widowControl/>
              <w:spacing w:line="360" w:lineRule="atLeast"/>
              <w:ind w:firstLine="313" w:firstLineChars="196"/>
              <w:jc w:val="left"/>
              <w:rPr>
                <w:rFonts w:asciiTheme="majorEastAsia" w:hAnsiTheme="majorEastAsia" w:eastAsiaTheme="majorEastAsia"/>
                <w:sz w:val="16"/>
                <w:szCs w:val="16"/>
              </w:rPr>
            </w:pPr>
          </w:p>
        </w:tc>
        <w:tc>
          <w:tcPr>
            <w:tcW w:w="715" w:type="pct"/>
            <w:vAlign w:val="center"/>
          </w:tcPr>
          <w:p>
            <w:pPr>
              <w:widowControl/>
              <w:spacing w:line="360" w:lineRule="atLeast"/>
              <w:ind w:firstLine="313" w:firstLineChars="196"/>
              <w:jc w:val="left"/>
              <w:rPr>
                <w:rFonts w:asciiTheme="majorEastAsia" w:hAnsiTheme="majorEastAsia" w:eastAsiaTheme="majorEastAsia"/>
                <w:sz w:val="16"/>
                <w:szCs w:val="16"/>
              </w:rPr>
            </w:pPr>
          </w:p>
        </w:tc>
        <w:tc>
          <w:tcPr>
            <w:tcW w:w="384" w:type="pct"/>
            <w:vAlign w:val="center"/>
          </w:tcPr>
          <w:p>
            <w:pPr>
              <w:widowControl/>
              <w:spacing w:line="360" w:lineRule="atLeast"/>
              <w:ind w:firstLine="313" w:firstLineChars="196"/>
              <w:jc w:val="left"/>
              <w:rPr>
                <w:rFonts w:asciiTheme="majorEastAsia" w:hAnsiTheme="majorEastAsia" w:eastAsiaTheme="majorEastAsia"/>
                <w:sz w:val="16"/>
                <w:szCs w:val="16"/>
              </w:rPr>
            </w:pPr>
          </w:p>
        </w:tc>
        <w:tc>
          <w:tcPr>
            <w:tcW w:w="461" w:type="pct"/>
          </w:tcPr>
          <w:p>
            <w:pPr>
              <w:widowControl/>
              <w:spacing w:line="360" w:lineRule="atLeast"/>
              <w:ind w:firstLine="313" w:firstLineChars="196"/>
              <w:jc w:val="left"/>
              <w:rPr>
                <w:rFonts w:asciiTheme="majorEastAsia" w:hAnsiTheme="majorEastAsia" w:eastAsiaTheme="majorEastAsia"/>
                <w:sz w:val="16"/>
                <w:szCs w:val="16"/>
              </w:rPr>
            </w:pPr>
          </w:p>
        </w:tc>
        <w:tc>
          <w:tcPr>
            <w:tcW w:w="459" w:type="pct"/>
          </w:tcPr>
          <w:p>
            <w:pPr>
              <w:widowControl/>
              <w:spacing w:line="360" w:lineRule="atLeast"/>
              <w:ind w:firstLine="313" w:firstLineChars="196"/>
              <w:jc w:val="left"/>
              <w:rPr>
                <w:rFonts w:asciiTheme="majorEastAsia" w:hAnsiTheme="majorEastAsia" w:eastAsiaTheme="majorEastAsia"/>
                <w:sz w:val="16"/>
                <w:szCs w:val="16"/>
              </w:rPr>
            </w:pPr>
          </w:p>
        </w:tc>
        <w:tc>
          <w:tcPr>
            <w:tcW w:w="845" w:type="pct"/>
          </w:tcPr>
          <w:p>
            <w:pPr>
              <w:widowControl/>
              <w:spacing w:line="360" w:lineRule="atLeast"/>
              <w:ind w:firstLine="313" w:firstLineChars="196"/>
              <w:jc w:val="left"/>
              <w:rPr>
                <w:rFonts w:asciiTheme="majorEastAsia" w:hAnsiTheme="majorEastAsia" w:eastAsiaTheme="majorEastAsia"/>
                <w:sz w:val="16"/>
                <w:szCs w:val="16"/>
              </w:rPr>
            </w:pPr>
          </w:p>
        </w:tc>
        <w:tc>
          <w:tcPr>
            <w:tcW w:w="625" w:type="pct"/>
          </w:tcPr>
          <w:p>
            <w:pPr>
              <w:widowControl/>
              <w:spacing w:line="360" w:lineRule="atLeast"/>
              <w:ind w:firstLine="313" w:firstLineChars="196"/>
              <w:jc w:val="left"/>
              <w:rPr>
                <w:rFonts w:asciiTheme="majorEastAsia" w:hAnsiTheme="majorEastAsia" w:eastAsiaTheme="majorEastAsia"/>
                <w:sz w:val="16"/>
                <w:szCs w:val="16"/>
              </w:rPr>
            </w:pPr>
          </w:p>
        </w:tc>
        <w:tc>
          <w:tcPr>
            <w:tcW w:w="1153" w:type="pct"/>
            <w:vAlign w:val="center"/>
          </w:tcPr>
          <w:p>
            <w:pPr>
              <w:widowControl/>
              <w:spacing w:line="360" w:lineRule="atLeast"/>
              <w:ind w:firstLine="313" w:firstLineChars="196"/>
              <w:jc w:val="left"/>
              <w:rPr>
                <w:rFonts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8" w:type="pct"/>
          </w:tcPr>
          <w:p>
            <w:pPr>
              <w:widowControl/>
              <w:spacing w:line="360" w:lineRule="atLeast"/>
              <w:ind w:firstLine="411" w:firstLineChars="196"/>
              <w:jc w:val="left"/>
              <w:rPr>
                <w:rFonts w:asciiTheme="majorEastAsia" w:hAnsiTheme="majorEastAsia" w:eastAsiaTheme="majorEastAsia"/>
              </w:rPr>
            </w:pPr>
          </w:p>
        </w:tc>
        <w:tc>
          <w:tcPr>
            <w:tcW w:w="715" w:type="pct"/>
            <w:vAlign w:val="center"/>
          </w:tcPr>
          <w:p>
            <w:pPr>
              <w:widowControl/>
              <w:spacing w:line="360" w:lineRule="atLeast"/>
              <w:ind w:firstLine="411" w:firstLineChars="196"/>
              <w:jc w:val="left"/>
              <w:rPr>
                <w:rFonts w:asciiTheme="majorEastAsia" w:hAnsiTheme="majorEastAsia" w:eastAsiaTheme="majorEastAsia"/>
              </w:rPr>
            </w:pPr>
          </w:p>
        </w:tc>
        <w:tc>
          <w:tcPr>
            <w:tcW w:w="384" w:type="pct"/>
            <w:vAlign w:val="center"/>
          </w:tcPr>
          <w:p>
            <w:pPr>
              <w:widowControl/>
              <w:spacing w:line="360" w:lineRule="atLeast"/>
              <w:ind w:firstLine="411" w:firstLineChars="196"/>
              <w:jc w:val="left"/>
              <w:rPr>
                <w:rFonts w:asciiTheme="majorEastAsia" w:hAnsiTheme="majorEastAsia" w:eastAsiaTheme="majorEastAsia"/>
              </w:rPr>
            </w:pPr>
          </w:p>
        </w:tc>
        <w:tc>
          <w:tcPr>
            <w:tcW w:w="461" w:type="pct"/>
          </w:tcPr>
          <w:p>
            <w:pPr>
              <w:widowControl/>
              <w:spacing w:line="360" w:lineRule="atLeast"/>
              <w:ind w:firstLine="411" w:firstLineChars="196"/>
              <w:jc w:val="left"/>
              <w:rPr>
                <w:rFonts w:asciiTheme="majorEastAsia" w:hAnsiTheme="majorEastAsia" w:eastAsiaTheme="majorEastAsia"/>
              </w:rPr>
            </w:pPr>
          </w:p>
        </w:tc>
        <w:tc>
          <w:tcPr>
            <w:tcW w:w="459" w:type="pct"/>
          </w:tcPr>
          <w:p>
            <w:pPr>
              <w:widowControl/>
              <w:spacing w:line="360" w:lineRule="atLeast"/>
              <w:ind w:firstLine="411" w:firstLineChars="196"/>
              <w:jc w:val="left"/>
              <w:rPr>
                <w:rFonts w:asciiTheme="majorEastAsia" w:hAnsiTheme="majorEastAsia" w:eastAsiaTheme="majorEastAsia"/>
              </w:rPr>
            </w:pPr>
          </w:p>
        </w:tc>
        <w:tc>
          <w:tcPr>
            <w:tcW w:w="845" w:type="pct"/>
          </w:tcPr>
          <w:p>
            <w:pPr>
              <w:widowControl/>
              <w:spacing w:line="360" w:lineRule="atLeast"/>
              <w:ind w:firstLine="411" w:firstLineChars="196"/>
              <w:jc w:val="left"/>
              <w:rPr>
                <w:rFonts w:asciiTheme="majorEastAsia" w:hAnsiTheme="majorEastAsia" w:eastAsiaTheme="majorEastAsia"/>
              </w:rPr>
            </w:pPr>
          </w:p>
        </w:tc>
        <w:tc>
          <w:tcPr>
            <w:tcW w:w="625" w:type="pct"/>
          </w:tcPr>
          <w:p>
            <w:pPr>
              <w:widowControl/>
              <w:spacing w:line="360" w:lineRule="atLeast"/>
              <w:ind w:firstLine="411" w:firstLineChars="196"/>
              <w:jc w:val="left"/>
              <w:rPr>
                <w:rFonts w:asciiTheme="majorEastAsia" w:hAnsiTheme="majorEastAsia" w:eastAsiaTheme="majorEastAsia"/>
              </w:rPr>
            </w:pPr>
          </w:p>
        </w:tc>
        <w:tc>
          <w:tcPr>
            <w:tcW w:w="1153" w:type="pct"/>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57" w:type="pct"/>
            <w:gridSpan w:val="3"/>
            <w:vAlign w:val="center"/>
          </w:tcPr>
          <w:p>
            <w:pPr>
              <w:widowControl/>
              <w:spacing w:line="360" w:lineRule="atLeast"/>
              <w:ind w:firstLine="411" w:firstLineChars="196"/>
              <w:rPr>
                <w:rFonts w:asciiTheme="majorEastAsia" w:hAnsiTheme="majorEastAsia" w:eastAsiaTheme="majorEastAsia"/>
              </w:rPr>
            </w:pPr>
            <w:r>
              <w:rPr>
                <w:rFonts w:hint="eastAsia" w:asciiTheme="majorEastAsia" w:hAnsiTheme="majorEastAsia" w:eastAsiaTheme="majorEastAsia"/>
              </w:rPr>
              <w:t>合计金额：</w:t>
            </w:r>
          </w:p>
        </w:tc>
        <w:tc>
          <w:tcPr>
            <w:tcW w:w="3543" w:type="pct"/>
            <w:gridSpan w:val="5"/>
          </w:tcPr>
          <w:p>
            <w:pPr>
              <w:widowControl/>
              <w:spacing w:line="360" w:lineRule="atLeast"/>
              <w:ind w:firstLine="411" w:firstLineChars="196"/>
              <w:jc w:val="left"/>
              <w:rPr>
                <w:rFonts w:asciiTheme="majorEastAsia" w:hAnsiTheme="majorEastAsia" w:eastAsiaTheme="majorEastAsia"/>
              </w:rPr>
            </w:pPr>
          </w:p>
        </w:tc>
      </w:tr>
      <w:bookmarkEnd w:id="36"/>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7" w:name="_Toc518397109"/>
      <w:bookmarkStart w:id="38" w:name="_Toc185047520"/>
      <w:bookmarkStart w:id="39" w:name="_Toc518397160"/>
      <w:r>
        <w:br w:type="page"/>
      </w:r>
      <w:r>
        <w:rPr>
          <w:rFonts w:hint="eastAsia"/>
        </w:rPr>
        <w:t>五、</w:t>
      </w:r>
      <w:bookmarkEnd w:id="37"/>
      <w:bookmarkEnd w:id="38"/>
      <w:bookmarkEnd w:id="39"/>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技术要求</w:t>
      </w:r>
      <w:r>
        <w:rPr>
          <w:rFonts w:hint="eastAsia"/>
        </w:rPr>
        <w:t>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5"/>
              <w:rPr>
                <w:rFonts w:ascii="宋体" w:hAnsi="宋体"/>
                <w:sz w:val="21"/>
                <w:szCs w:val="21"/>
              </w:rPr>
            </w:pPr>
            <w:r>
              <w:rPr>
                <w:rFonts w:hint="eastAsia" w:ascii="宋体" w:hAnsi="宋体"/>
                <w:sz w:val="21"/>
                <w:szCs w:val="21"/>
              </w:rPr>
              <w:t>序号</w:t>
            </w:r>
          </w:p>
        </w:tc>
        <w:tc>
          <w:tcPr>
            <w:tcW w:w="1315" w:type="dxa"/>
            <w:vAlign w:val="center"/>
          </w:tcPr>
          <w:p>
            <w:pPr>
              <w:pStyle w:val="55"/>
              <w:rPr>
                <w:rFonts w:ascii="宋体" w:hAnsi="宋体"/>
                <w:sz w:val="21"/>
                <w:szCs w:val="21"/>
              </w:rPr>
            </w:pPr>
            <w:r>
              <w:rPr>
                <w:rFonts w:hint="eastAsia" w:ascii="宋体" w:hAnsi="宋体"/>
                <w:sz w:val="21"/>
                <w:szCs w:val="21"/>
              </w:rPr>
              <w:t>标的名称</w:t>
            </w:r>
          </w:p>
        </w:tc>
        <w:tc>
          <w:tcPr>
            <w:tcW w:w="2629"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5"/>
              <w:rPr>
                <w:rFonts w:ascii="宋体" w:hAnsi="宋体"/>
                <w:sz w:val="21"/>
                <w:szCs w:val="21"/>
              </w:rPr>
            </w:pPr>
            <w:r>
              <w:rPr>
                <w:rFonts w:hint="eastAsia" w:ascii="宋体" w:hAnsi="宋体"/>
                <w:sz w:val="21"/>
                <w:szCs w:val="21"/>
              </w:rPr>
              <w:t>响应服务参数</w:t>
            </w:r>
          </w:p>
        </w:tc>
        <w:tc>
          <w:tcPr>
            <w:tcW w:w="1646"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Align w:val="center"/>
          </w:tcPr>
          <w:p>
            <w:pPr>
              <w:pStyle w:val="16"/>
              <w:spacing w:line="360" w:lineRule="auto"/>
              <w:jc w:val="center"/>
              <w:rPr>
                <w:rFonts w:hAnsi="宋体" w:cs="Times New Roman"/>
                <w:kern w:val="0"/>
              </w:rPr>
            </w:pPr>
            <w:r>
              <w:rPr>
                <w:rFonts w:hint="eastAsia" w:hAnsi="宋体"/>
                <w:kern w:val="0"/>
              </w:rPr>
              <w:t>序号</w:t>
            </w:r>
          </w:p>
        </w:tc>
        <w:tc>
          <w:tcPr>
            <w:tcW w:w="2399"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3083" w:type="dxa"/>
            <w:vAlign w:val="center"/>
          </w:tcPr>
          <w:p>
            <w:pPr>
              <w:pStyle w:val="16"/>
              <w:spacing w:line="360" w:lineRule="auto"/>
              <w:jc w:val="center"/>
              <w:rPr>
                <w:rFonts w:hAnsi="宋体" w:cs="Times New Roman"/>
                <w:kern w:val="0"/>
              </w:rPr>
            </w:pPr>
            <w:r>
              <w:rPr>
                <w:rFonts w:hint="eastAsia" w:hAnsi="宋体"/>
                <w:kern w:val="0"/>
              </w:rPr>
              <w:t>供应商应答</w:t>
            </w:r>
          </w:p>
        </w:tc>
        <w:tc>
          <w:tcPr>
            <w:tcW w:w="2133"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ind w:left="277" w:hanging="277" w:hangingChars="132"/>
              <w:jc w:val="center"/>
              <w:rPr>
                <w:rFonts w:ascii="宋体"/>
                <w:kern w:val="0"/>
              </w:rPr>
            </w:pPr>
          </w:p>
        </w:tc>
        <w:tc>
          <w:tcPr>
            <w:tcW w:w="2133"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jc w:val="center"/>
              <w:rPr>
                <w:rFonts w:ascii="宋体"/>
                <w:kern w:val="0"/>
              </w:rPr>
            </w:pPr>
          </w:p>
        </w:tc>
        <w:tc>
          <w:tcPr>
            <w:tcW w:w="2133"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jc w:val="center"/>
              <w:rPr>
                <w:rFonts w:ascii="宋体"/>
                <w:kern w:val="0"/>
              </w:rPr>
            </w:pPr>
          </w:p>
        </w:tc>
        <w:tc>
          <w:tcPr>
            <w:tcW w:w="2133"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jc w:val="center"/>
              <w:rPr>
                <w:rFonts w:ascii="宋体"/>
                <w:kern w:val="0"/>
              </w:rPr>
            </w:pPr>
          </w:p>
        </w:tc>
        <w:tc>
          <w:tcPr>
            <w:tcW w:w="2133"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jc w:val="center"/>
              <w:rPr>
                <w:rFonts w:ascii="宋体"/>
                <w:kern w:val="0"/>
              </w:rPr>
            </w:pPr>
          </w:p>
        </w:tc>
        <w:tc>
          <w:tcPr>
            <w:tcW w:w="2133"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jc w:val="center"/>
              <w:rPr>
                <w:rFonts w:ascii="宋体"/>
                <w:kern w:val="0"/>
              </w:rPr>
            </w:pPr>
          </w:p>
        </w:tc>
        <w:tc>
          <w:tcPr>
            <w:tcW w:w="2133"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jc w:val="center"/>
              <w:rPr>
                <w:rFonts w:ascii="宋体"/>
                <w:kern w:val="0"/>
              </w:rPr>
            </w:pPr>
          </w:p>
        </w:tc>
        <w:tc>
          <w:tcPr>
            <w:tcW w:w="2133"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承诺时间：2025年   月   日</w:t>
      </w:r>
    </w:p>
    <w:p>
      <w:pPr>
        <w:pStyle w:val="2"/>
      </w:pPr>
    </w:p>
    <w:p/>
    <w:p>
      <w:pPr>
        <w:pStyle w:val="2"/>
      </w:pPr>
    </w:p>
    <w:p/>
    <w:p>
      <w:pPr>
        <w:pStyle w:val="2"/>
      </w:pPr>
    </w:p>
    <w:p/>
    <w:p>
      <w:pPr>
        <w:pStyle w:val="2"/>
      </w:pPr>
    </w:p>
    <w:p/>
    <w:p>
      <w:pPr>
        <w:pStyle w:val="2"/>
      </w:pPr>
    </w:p>
    <w:p/>
    <w:p>
      <w:pPr>
        <w:pStyle w:val="4"/>
        <w:numPr>
          <w:ilvl w:val="1"/>
          <w:numId w:val="0"/>
        </w:numPr>
        <w:tabs>
          <w:tab w:val="clear" w:pos="2045"/>
          <w:tab w:val="clear" w:pos="3828"/>
        </w:tabs>
        <w:ind w:left="3261"/>
        <w:rPr>
          <w:bCs w:val="0"/>
        </w:rPr>
      </w:pPr>
      <w:bookmarkStart w:id="40" w:name="_Toc365878703"/>
      <w:bookmarkStart w:id="41" w:name="_Toc361252259"/>
      <w:r>
        <w:rPr>
          <w:rFonts w:hint="eastAsia"/>
          <w:bCs w:val="0"/>
        </w:rPr>
        <w:t>九、最后报价表</w:t>
      </w:r>
    </w:p>
    <w:p>
      <w:pPr>
        <w:spacing w:line="360" w:lineRule="auto"/>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3、最后报价表可由供应商的法定代表人（负责人）或授权代表在最后报价时手工填写；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rPr>
          <w:rFonts w:ascii="宋体" w:hAnsi="宋体" w:cs="宋体"/>
          <w:sz w:val="24"/>
        </w:rPr>
      </w:pPr>
      <w:r>
        <w:rPr>
          <w:rFonts w:hint="eastAsia" w:ascii="宋体" w:hAnsi="宋体" w:cs="宋体"/>
          <w:sz w:val="24"/>
        </w:rPr>
        <w:t>二、报价表格式：</w:t>
      </w:r>
    </w:p>
    <w:p>
      <w:pPr>
        <w:jc w:val="center"/>
        <w:rPr>
          <w:rFonts w:ascii="宋体" w:hAnsi="宋体" w:cs="宋体"/>
          <w:b/>
          <w:sz w:val="32"/>
          <w:szCs w:val="32"/>
        </w:rPr>
      </w:pPr>
      <w:r>
        <w:rPr>
          <w:rFonts w:hint="eastAsia" w:ascii="宋体" w:hAnsi="宋体" w:cs="宋体"/>
          <w:b/>
          <w:sz w:val="32"/>
          <w:szCs w:val="32"/>
        </w:rPr>
        <w:t>最后报价表</w:t>
      </w:r>
    </w:p>
    <w:tbl>
      <w:tblPr>
        <w:tblStyle w:val="27"/>
        <w:tblW w:w="5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56"/>
        <w:gridCol w:w="727"/>
        <w:gridCol w:w="873"/>
        <w:gridCol w:w="869"/>
        <w:gridCol w:w="1600"/>
        <w:gridCol w:w="1184"/>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7" w:type="pct"/>
            <w:vAlign w:val="center"/>
          </w:tcPr>
          <w:p>
            <w:pPr>
              <w:widowControl/>
              <w:spacing w:line="360" w:lineRule="atLeast"/>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序号</w:t>
            </w:r>
          </w:p>
        </w:tc>
        <w:tc>
          <w:tcPr>
            <w:tcW w:w="716" w:type="pct"/>
            <w:vAlign w:val="center"/>
          </w:tcPr>
          <w:p>
            <w:pPr>
              <w:widowControl/>
              <w:spacing w:line="360" w:lineRule="atLeast"/>
              <w:jc w:val="center"/>
              <w:rPr>
                <w:rFonts w:asciiTheme="majorEastAsia" w:hAnsiTheme="majorEastAsia" w:eastAsiaTheme="majorEastAsia"/>
                <w:b/>
                <w:sz w:val="16"/>
                <w:szCs w:val="16"/>
              </w:rPr>
            </w:pPr>
            <w:r>
              <w:rPr>
                <w:rFonts w:hint="eastAsia" w:asciiTheme="majorEastAsia" w:hAnsiTheme="majorEastAsia" w:eastAsiaTheme="majorEastAsia"/>
                <w:sz w:val="16"/>
                <w:szCs w:val="16"/>
              </w:rPr>
              <w:t>预计更换项目</w:t>
            </w:r>
          </w:p>
        </w:tc>
        <w:tc>
          <w:tcPr>
            <w:tcW w:w="384" w:type="pct"/>
            <w:vAlign w:val="center"/>
          </w:tcPr>
          <w:p>
            <w:pPr>
              <w:widowControl/>
              <w:spacing w:line="360" w:lineRule="atLeast"/>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型号</w:t>
            </w:r>
          </w:p>
        </w:tc>
        <w:tc>
          <w:tcPr>
            <w:tcW w:w="461" w:type="pct"/>
            <w:vAlign w:val="center"/>
          </w:tcPr>
          <w:p>
            <w:pPr>
              <w:widowControl/>
              <w:spacing w:line="360" w:lineRule="atLeast"/>
              <w:ind w:left="-8" w:leftChars="-4" w:firstLine="56" w:firstLineChars="35"/>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单位</w:t>
            </w:r>
          </w:p>
        </w:tc>
        <w:tc>
          <w:tcPr>
            <w:tcW w:w="459" w:type="pct"/>
            <w:vAlign w:val="center"/>
          </w:tcPr>
          <w:p>
            <w:pPr>
              <w:widowControl/>
              <w:spacing w:line="360" w:lineRule="atLeast"/>
              <w:ind w:left="-8" w:leftChars="-4" w:firstLine="56" w:firstLineChars="35"/>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数量</w:t>
            </w:r>
          </w:p>
        </w:tc>
        <w:tc>
          <w:tcPr>
            <w:tcW w:w="845" w:type="pct"/>
            <w:vAlign w:val="center"/>
          </w:tcPr>
          <w:p>
            <w:pPr>
              <w:widowControl/>
              <w:spacing w:line="360" w:lineRule="atLeast"/>
              <w:ind w:left="-8" w:leftChars="-4" w:firstLine="56" w:firstLineChars="35"/>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单价</w:t>
            </w:r>
          </w:p>
        </w:tc>
        <w:tc>
          <w:tcPr>
            <w:tcW w:w="625" w:type="pct"/>
            <w:vAlign w:val="center"/>
          </w:tcPr>
          <w:p>
            <w:pPr>
              <w:widowControl/>
              <w:spacing w:line="360" w:lineRule="atLeast"/>
              <w:ind w:left="-8" w:leftChars="-4" w:firstLine="56" w:firstLineChars="35"/>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合计</w:t>
            </w:r>
          </w:p>
        </w:tc>
        <w:tc>
          <w:tcPr>
            <w:tcW w:w="1154" w:type="pct"/>
            <w:vAlign w:val="center"/>
          </w:tcPr>
          <w:p>
            <w:pPr>
              <w:widowControl/>
              <w:spacing w:line="360" w:lineRule="atLeast"/>
              <w:ind w:left="-8" w:leftChars="-4" w:firstLine="56" w:firstLineChars="35"/>
              <w:jc w:val="center"/>
              <w:rPr>
                <w:rFonts w:asciiTheme="majorEastAsia" w:hAnsiTheme="majorEastAsia" w:eastAsiaTheme="majorEastAsia"/>
                <w:sz w:val="16"/>
                <w:szCs w:val="16"/>
              </w:rPr>
            </w:pPr>
            <w:r>
              <w:rPr>
                <w:rFonts w:hint="eastAsia" w:asciiTheme="majorEastAsia" w:hAnsiTheme="majorEastAsia" w:eastAsiaTheme="majorEastAsia"/>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7" w:type="pct"/>
          </w:tcPr>
          <w:p>
            <w:pPr>
              <w:widowControl/>
              <w:spacing w:line="360" w:lineRule="atLeast"/>
              <w:ind w:firstLine="313" w:firstLineChars="196"/>
              <w:jc w:val="left"/>
              <w:rPr>
                <w:rFonts w:asciiTheme="majorEastAsia" w:hAnsiTheme="majorEastAsia" w:eastAsiaTheme="majorEastAsia"/>
                <w:sz w:val="16"/>
                <w:szCs w:val="16"/>
              </w:rPr>
            </w:pPr>
          </w:p>
        </w:tc>
        <w:tc>
          <w:tcPr>
            <w:tcW w:w="716" w:type="pct"/>
            <w:vAlign w:val="center"/>
          </w:tcPr>
          <w:p>
            <w:pPr>
              <w:widowControl/>
              <w:spacing w:line="360" w:lineRule="atLeast"/>
              <w:ind w:firstLine="313" w:firstLineChars="196"/>
              <w:jc w:val="left"/>
              <w:rPr>
                <w:rFonts w:asciiTheme="majorEastAsia" w:hAnsiTheme="majorEastAsia" w:eastAsiaTheme="majorEastAsia"/>
                <w:sz w:val="16"/>
                <w:szCs w:val="16"/>
              </w:rPr>
            </w:pPr>
          </w:p>
        </w:tc>
        <w:tc>
          <w:tcPr>
            <w:tcW w:w="384" w:type="pct"/>
            <w:vAlign w:val="center"/>
          </w:tcPr>
          <w:p>
            <w:pPr>
              <w:widowControl/>
              <w:spacing w:line="360" w:lineRule="atLeast"/>
              <w:ind w:firstLine="313" w:firstLineChars="196"/>
              <w:jc w:val="left"/>
              <w:rPr>
                <w:rFonts w:asciiTheme="majorEastAsia" w:hAnsiTheme="majorEastAsia" w:eastAsiaTheme="majorEastAsia"/>
                <w:sz w:val="16"/>
                <w:szCs w:val="16"/>
              </w:rPr>
            </w:pPr>
          </w:p>
        </w:tc>
        <w:tc>
          <w:tcPr>
            <w:tcW w:w="461" w:type="pct"/>
          </w:tcPr>
          <w:p>
            <w:pPr>
              <w:widowControl/>
              <w:spacing w:line="360" w:lineRule="atLeast"/>
              <w:ind w:firstLine="313" w:firstLineChars="196"/>
              <w:jc w:val="left"/>
              <w:rPr>
                <w:rFonts w:asciiTheme="majorEastAsia" w:hAnsiTheme="majorEastAsia" w:eastAsiaTheme="majorEastAsia"/>
                <w:sz w:val="16"/>
                <w:szCs w:val="16"/>
              </w:rPr>
            </w:pPr>
          </w:p>
        </w:tc>
        <w:tc>
          <w:tcPr>
            <w:tcW w:w="459" w:type="pct"/>
          </w:tcPr>
          <w:p>
            <w:pPr>
              <w:widowControl/>
              <w:spacing w:line="360" w:lineRule="atLeast"/>
              <w:ind w:firstLine="313" w:firstLineChars="196"/>
              <w:jc w:val="left"/>
              <w:rPr>
                <w:rFonts w:asciiTheme="majorEastAsia" w:hAnsiTheme="majorEastAsia" w:eastAsiaTheme="majorEastAsia"/>
                <w:sz w:val="16"/>
                <w:szCs w:val="16"/>
              </w:rPr>
            </w:pPr>
          </w:p>
        </w:tc>
        <w:tc>
          <w:tcPr>
            <w:tcW w:w="845" w:type="pct"/>
          </w:tcPr>
          <w:p>
            <w:pPr>
              <w:widowControl/>
              <w:spacing w:line="360" w:lineRule="atLeast"/>
              <w:ind w:firstLine="313" w:firstLineChars="196"/>
              <w:jc w:val="left"/>
              <w:rPr>
                <w:rFonts w:asciiTheme="majorEastAsia" w:hAnsiTheme="majorEastAsia" w:eastAsiaTheme="majorEastAsia"/>
                <w:sz w:val="16"/>
                <w:szCs w:val="16"/>
              </w:rPr>
            </w:pPr>
          </w:p>
        </w:tc>
        <w:tc>
          <w:tcPr>
            <w:tcW w:w="625" w:type="pct"/>
          </w:tcPr>
          <w:p>
            <w:pPr>
              <w:widowControl/>
              <w:spacing w:line="360" w:lineRule="atLeast"/>
              <w:ind w:firstLine="313" w:firstLineChars="196"/>
              <w:jc w:val="left"/>
              <w:rPr>
                <w:rFonts w:asciiTheme="majorEastAsia" w:hAnsiTheme="majorEastAsia" w:eastAsiaTheme="majorEastAsia"/>
                <w:sz w:val="16"/>
                <w:szCs w:val="16"/>
              </w:rPr>
            </w:pPr>
          </w:p>
        </w:tc>
        <w:tc>
          <w:tcPr>
            <w:tcW w:w="1154" w:type="pct"/>
            <w:vAlign w:val="center"/>
          </w:tcPr>
          <w:p>
            <w:pPr>
              <w:widowControl/>
              <w:spacing w:line="360" w:lineRule="atLeast"/>
              <w:ind w:firstLine="313" w:firstLineChars="196"/>
              <w:jc w:val="left"/>
              <w:rPr>
                <w:rFonts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7" w:type="pct"/>
          </w:tcPr>
          <w:p>
            <w:pPr>
              <w:widowControl/>
              <w:spacing w:line="360" w:lineRule="atLeast"/>
              <w:ind w:firstLine="411" w:firstLineChars="196"/>
              <w:jc w:val="left"/>
              <w:rPr>
                <w:rFonts w:asciiTheme="majorEastAsia" w:hAnsiTheme="majorEastAsia" w:eastAsiaTheme="majorEastAsia"/>
              </w:rPr>
            </w:pPr>
          </w:p>
        </w:tc>
        <w:tc>
          <w:tcPr>
            <w:tcW w:w="716" w:type="pct"/>
            <w:vAlign w:val="center"/>
          </w:tcPr>
          <w:p>
            <w:pPr>
              <w:widowControl/>
              <w:spacing w:line="360" w:lineRule="atLeast"/>
              <w:ind w:firstLine="411" w:firstLineChars="196"/>
              <w:jc w:val="left"/>
              <w:rPr>
                <w:rFonts w:asciiTheme="majorEastAsia" w:hAnsiTheme="majorEastAsia" w:eastAsiaTheme="majorEastAsia"/>
              </w:rPr>
            </w:pPr>
          </w:p>
        </w:tc>
        <w:tc>
          <w:tcPr>
            <w:tcW w:w="384" w:type="pct"/>
            <w:vAlign w:val="center"/>
          </w:tcPr>
          <w:p>
            <w:pPr>
              <w:widowControl/>
              <w:spacing w:line="360" w:lineRule="atLeast"/>
              <w:ind w:firstLine="411" w:firstLineChars="196"/>
              <w:jc w:val="left"/>
              <w:rPr>
                <w:rFonts w:asciiTheme="majorEastAsia" w:hAnsiTheme="majorEastAsia" w:eastAsiaTheme="majorEastAsia"/>
              </w:rPr>
            </w:pPr>
          </w:p>
        </w:tc>
        <w:tc>
          <w:tcPr>
            <w:tcW w:w="461" w:type="pct"/>
          </w:tcPr>
          <w:p>
            <w:pPr>
              <w:widowControl/>
              <w:spacing w:line="360" w:lineRule="atLeast"/>
              <w:ind w:firstLine="411" w:firstLineChars="196"/>
              <w:jc w:val="left"/>
              <w:rPr>
                <w:rFonts w:asciiTheme="majorEastAsia" w:hAnsiTheme="majorEastAsia" w:eastAsiaTheme="majorEastAsia"/>
              </w:rPr>
            </w:pPr>
          </w:p>
        </w:tc>
        <w:tc>
          <w:tcPr>
            <w:tcW w:w="459" w:type="pct"/>
          </w:tcPr>
          <w:p>
            <w:pPr>
              <w:widowControl/>
              <w:spacing w:line="360" w:lineRule="atLeast"/>
              <w:ind w:firstLine="411" w:firstLineChars="196"/>
              <w:jc w:val="left"/>
              <w:rPr>
                <w:rFonts w:asciiTheme="majorEastAsia" w:hAnsiTheme="majorEastAsia" w:eastAsiaTheme="majorEastAsia"/>
              </w:rPr>
            </w:pPr>
          </w:p>
        </w:tc>
        <w:tc>
          <w:tcPr>
            <w:tcW w:w="845" w:type="pct"/>
          </w:tcPr>
          <w:p>
            <w:pPr>
              <w:widowControl/>
              <w:spacing w:line="360" w:lineRule="atLeast"/>
              <w:ind w:firstLine="411" w:firstLineChars="196"/>
              <w:jc w:val="left"/>
              <w:rPr>
                <w:rFonts w:asciiTheme="majorEastAsia" w:hAnsiTheme="majorEastAsia" w:eastAsiaTheme="majorEastAsia"/>
              </w:rPr>
            </w:pPr>
          </w:p>
        </w:tc>
        <w:tc>
          <w:tcPr>
            <w:tcW w:w="625" w:type="pct"/>
          </w:tcPr>
          <w:p>
            <w:pPr>
              <w:widowControl/>
              <w:spacing w:line="360" w:lineRule="atLeast"/>
              <w:ind w:firstLine="411" w:firstLineChars="196"/>
              <w:jc w:val="left"/>
              <w:rPr>
                <w:rFonts w:asciiTheme="majorEastAsia" w:hAnsiTheme="majorEastAsia" w:eastAsiaTheme="majorEastAsia"/>
              </w:rPr>
            </w:pPr>
          </w:p>
        </w:tc>
        <w:tc>
          <w:tcPr>
            <w:tcW w:w="1154" w:type="pct"/>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57" w:type="pct"/>
            <w:gridSpan w:val="3"/>
            <w:vAlign w:val="center"/>
          </w:tcPr>
          <w:p>
            <w:pPr>
              <w:widowControl/>
              <w:spacing w:line="360" w:lineRule="atLeast"/>
              <w:ind w:firstLine="411" w:firstLineChars="196"/>
              <w:rPr>
                <w:rFonts w:asciiTheme="majorEastAsia" w:hAnsiTheme="majorEastAsia" w:eastAsiaTheme="majorEastAsia"/>
              </w:rPr>
            </w:pPr>
            <w:r>
              <w:rPr>
                <w:rFonts w:hint="eastAsia" w:asciiTheme="majorEastAsia" w:hAnsiTheme="majorEastAsia" w:eastAsiaTheme="majorEastAsia"/>
              </w:rPr>
              <w:t>合计金额：</w:t>
            </w:r>
          </w:p>
        </w:tc>
        <w:tc>
          <w:tcPr>
            <w:tcW w:w="3543" w:type="pct"/>
            <w:gridSpan w:val="5"/>
          </w:tcPr>
          <w:p>
            <w:pPr>
              <w:widowControl/>
              <w:spacing w:line="360" w:lineRule="atLeast"/>
              <w:ind w:firstLine="411" w:firstLineChars="196"/>
              <w:jc w:val="left"/>
              <w:rPr>
                <w:rFonts w:asciiTheme="majorEastAsia" w:hAnsiTheme="majorEastAsia" w:eastAsiaTheme="majorEastAsia"/>
              </w:rPr>
            </w:pPr>
          </w:p>
        </w:tc>
      </w:tr>
    </w:tbl>
    <w:p>
      <w:pPr>
        <w:spacing w:line="360" w:lineRule="auto"/>
        <w:ind w:firstLine="420" w:firstLineChars="200"/>
        <w:jc w:val="left"/>
        <w:rPr>
          <w:rFonts w:ascii="宋体" w:hAnsi="宋体"/>
          <w:kern w:val="0"/>
        </w:rPr>
      </w:pPr>
    </w:p>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r>
        <w:rPr>
          <w:rFonts w:hint="eastAsia"/>
        </w:rPr>
        <w:br w:type="page"/>
      </w:r>
    </w:p>
    <w:p>
      <w:pPr>
        <w:pStyle w:val="4"/>
        <w:numPr>
          <w:ilvl w:val="0"/>
          <w:numId w:val="0"/>
        </w:numPr>
        <w:spacing w:before="0" w:after="0" w:line="360" w:lineRule="auto"/>
        <w:jc w:val="center"/>
        <w:rPr>
          <w:rFonts w:cs="Times New Roman"/>
        </w:rPr>
      </w:pPr>
      <w:r>
        <w:rPr>
          <w:rFonts w:hint="eastAsia"/>
        </w:rPr>
        <w:t>十、</w:t>
      </w:r>
      <w:bookmarkEnd w:id="40"/>
      <w:bookmarkEnd w:id="41"/>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19C"/>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37F20"/>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27EB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8FE"/>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0A7"/>
    <w:rsid w:val="004D43B6"/>
    <w:rsid w:val="004D4C43"/>
    <w:rsid w:val="004E11F3"/>
    <w:rsid w:val="004E1B4F"/>
    <w:rsid w:val="004E42A8"/>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07E7"/>
    <w:rsid w:val="00553AA2"/>
    <w:rsid w:val="00562EB1"/>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2E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0EEB"/>
    <w:rsid w:val="007F16C2"/>
    <w:rsid w:val="007F3473"/>
    <w:rsid w:val="007F3599"/>
    <w:rsid w:val="007F38D2"/>
    <w:rsid w:val="007F5BBA"/>
    <w:rsid w:val="007F6E4B"/>
    <w:rsid w:val="007F6FE3"/>
    <w:rsid w:val="0080004B"/>
    <w:rsid w:val="00800532"/>
    <w:rsid w:val="00804095"/>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472F5"/>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98C"/>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560C"/>
    <w:rsid w:val="00A66356"/>
    <w:rsid w:val="00A706C0"/>
    <w:rsid w:val="00A710C9"/>
    <w:rsid w:val="00A72C84"/>
    <w:rsid w:val="00A75B4F"/>
    <w:rsid w:val="00A75F92"/>
    <w:rsid w:val="00A7662C"/>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97E30"/>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7AD"/>
    <w:rsid w:val="00DD6F54"/>
    <w:rsid w:val="00DE1868"/>
    <w:rsid w:val="00DE2BD0"/>
    <w:rsid w:val="00DE3E9F"/>
    <w:rsid w:val="00DE5256"/>
    <w:rsid w:val="00DE58B5"/>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35E7"/>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0A90"/>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419"/>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C01B49"/>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E2633"/>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C54252"/>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字符"/>
    <w:link w:val="3"/>
    <w:qFormat/>
    <w:uiPriority w:val="9"/>
    <w:rPr>
      <w:b/>
      <w:bCs/>
      <w:kern w:val="44"/>
      <w:sz w:val="44"/>
      <w:szCs w:val="44"/>
    </w:rPr>
  </w:style>
  <w:style w:type="character" w:customStyle="1" w:styleId="34">
    <w:name w:val="标题 2 字符"/>
    <w:link w:val="4"/>
    <w:semiHidden/>
    <w:qFormat/>
    <w:uiPriority w:val="9"/>
    <w:rPr>
      <w:rFonts w:ascii="Cambria" w:hAnsi="Cambria" w:eastAsia="宋体" w:cs="Times New Roman"/>
      <w:b/>
      <w:bCs/>
      <w:sz w:val="32"/>
      <w:szCs w:val="32"/>
    </w:rPr>
  </w:style>
  <w:style w:type="character" w:customStyle="1" w:styleId="35">
    <w:name w:val="标题 3 字符"/>
    <w:link w:val="5"/>
    <w:semiHidden/>
    <w:qFormat/>
    <w:uiPriority w:val="9"/>
    <w:rPr>
      <w:b/>
      <w:bCs/>
      <w:sz w:val="32"/>
      <w:szCs w:val="32"/>
    </w:rPr>
  </w:style>
  <w:style w:type="character" w:customStyle="1" w:styleId="36">
    <w:name w:val="标题 4 字符"/>
    <w:link w:val="6"/>
    <w:semiHidden/>
    <w:qFormat/>
    <w:uiPriority w:val="9"/>
    <w:rPr>
      <w:rFonts w:ascii="Cambria" w:hAnsi="Cambria" w:eastAsia="宋体" w:cs="Times New Roman"/>
      <w:b/>
      <w:bCs/>
      <w:sz w:val="28"/>
      <w:szCs w:val="28"/>
    </w:rPr>
  </w:style>
  <w:style w:type="character" w:customStyle="1" w:styleId="37">
    <w:name w:val="批注文字 字符"/>
    <w:link w:val="14"/>
    <w:qFormat/>
    <w:locked/>
    <w:uiPriority w:val="99"/>
    <w:rPr>
      <w:kern w:val="2"/>
      <w:sz w:val="24"/>
      <w:szCs w:val="24"/>
    </w:rPr>
  </w:style>
  <w:style w:type="character" w:customStyle="1" w:styleId="38">
    <w:name w:val="批注主题 字符"/>
    <w:link w:val="26"/>
    <w:qFormat/>
    <w:locked/>
    <w:uiPriority w:val="99"/>
    <w:rPr>
      <w:b/>
      <w:bCs/>
      <w:kern w:val="2"/>
      <w:sz w:val="24"/>
      <w:szCs w:val="24"/>
    </w:rPr>
  </w:style>
  <w:style w:type="character" w:customStyle="1" w:styleId="39">
    <w:name w:val="文档结构图 字符"/>
    <w:link w:val="13"/>
    <w:qFormat/>
    <w:locked/>
    <w:uiPriority w:val="99"/>
    <w:rPr>
      <w:rFonts w:ascii="宋体" w:cs="宋体"/>
      <w:kern w:val="2"/>
      <w:sz w:val="24"/>
      <w:szCs w:val="24"/>
    </w:rPr>
  </w:style>
  <w:style w:type="character" w:customStyle="1" w:styleId="40">
    <w:name w:val="正文文本 字符"/>
    <w:link w:val="2"/>
    <w:qFormat/>
    <w:locked/>
    <w:uiPriority w:val="99"/>
    <w:rPr>
      <w:kern w:val="2"/>
      <w:sz w:val="24"/>
      <w:szCs w:val="24"/>
    </w:rPr>
  </w:style>
  <w:style w:type="character" w:customStyle="1" w:styleId="41">
    <w:name w:val="正文文本缩进 字符"/>
    <w:link w:val="15"/>
    <w:qFormat/>
    <w:locked/>
    <w:uiPriority w:val="99"/>
    <w:rPr>
      <w:kern w:val="2"/>
      <w:sz w:val="24"/>
      <w:szCs w:val="24"/>
    </w:rPr>
  </w:style>
  <w:style w:type="character" w:customStyle="1" w:styleId="42">
    <w:name w:val="纯文本 字符"/>
    <w:link w:val="16"/>
    <w:qFormat/>
    <w:locked/>
    <w:uiPriority w:val="0"/>
    <w:rPr>
      <w:rFonts w:ascii="宋体" w:hAnsi="Courier New" w:cs="宋体"/>
      <w:kern w:val="2"/>
      <w:sz w:val="21"/>
      <w:szCs w:val="21"/>
    </w:rPr>
  </w:style>
  <w:style w:type="character" w:customStyle="1" w:styleId="43">
    <w:name w:val="日期 字符"/>
    <w:link w:val="17"/>
    <w:semiHidden/>
    <w:qFormat/>
    <w:uiPriority w:val="99"/>
    <w:rPr>
      <w:szCs w:val="21"/>
    </w:rPr>
  </w:style>
  <w:style w:type="character" w:customStyle="1" w:styleId="44">
    <w:name w:val="批注框文本 字符"/>
    <w:link w:val="18"/>
    <w:semiHidden/>
    <w:qFormat/>
    <w:uiPriority w:val="99"/>
    <w:rPr>
      <w:sz w:val="0"/>
      <w:szCs w:val="0"/>
    </w:rPr>
  </w:style>
  <w:style w:type="character" w:customStyle="1" w:styleId="45">
    <w:name w:val="页脚 字符"/>
    <w:link w:val="19"/>
    <w:qFormat/>
    <w:locked/>
    <w:uiPriority w:val="99"/>
    <w:rPr>
      <w:kern w:val="2"/>
      <w:sz w:val="18"/>
      <w:szCs w:val="18"/>
    </w:rPr>
  </w:style>
  <w:style w:type="character" w:customStyle="1" w:styleId="46">
    <w:name w:val="页眉 字符"/>
    <w:link w:val="20"/>
    <w:qFormat/>
    <w:locked/>
    <w:uiPriority w:val="99"/>
    <w:rPr>
      <w:kern w:val="2"/>
      <w:sz w:val="18"/>
      <w:szCs w:val="18"/>
    </w:rPr>
  </w:style>
  <w:style w:type="character" w:customStyle="1" w:styleId="47">
    <w:name w:val="正文文本缩进 3 字符"/>
    <w:link w:val="22"/>
    <w:semiHidden/>
    <w:qFormat/>
    <w:uiPriority w:val="99"/>
    <w:rPr>
      <w:sz w:val="16"/>
      <w:szCs w:val="16"/>
    </w:rPr>
  </w:style>
  <w:style w:type="character" w:customStyle="1" w:styleId="48">
    <w:name w:val="标题 字符"/>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字符"/>
    <w:basedOn w:val="29"/>
    <w:link w:val="7"/>
    <w:qFormat/>
    <w:uiPriority w:val="0"/>
    <w:rPr>
      <w:rFonts w:ascii="宋体"/>
      <w:b/>
      <w:sz w:val="28"/>
    </w:rPr>
  </w:style>
  <w:style w:type="character" w:customStyle="1" w:styleId="79">
    <w:name w:val="标题 6 字符"/>
    <w:basedOn w:val="29"/>
    <w:link w:val="9"/>
    <w:qFormat/>
    <w:uiPriority w:val="0"/>
    <w:rPr>
      <w:rFonts w:ascii="Arial" w:hAnsi="Arial" w:eastAsia="黑体"/>
      <w:b/>
      <w:sz w:val="24"/>
    </w:rPr>
  </w:style>
  <w:style w:type="character" w:customStyle="1" w:styleId="80">
    <w:name w:val="标题 7 字符"/>
    <w:basedOn w:val="29"/>
    <w:link w:val="10"/>
    <w:qFormat/>
    <w:uiPriority w:val="0"/>
    <w:rPr>
      <w:rFonts w:ascii="宋体"/>
      <w:b/>
      <w:sz w:val="24"/>
    </w:rPr>
  </w:style>
  <w:style w:type="character" w:customStyle="1" w:styleId="81">
    <w:name w:val="标题 8 字符"/>
    <w:basedOn w:val="29"/>
    <w:link w:val="11"/>
    <w:qFormat/>
    <w:uiPriority w:val="0"/>
    <w:rPr>
      <w:rFonts w:ascii="Arial" w:hAnsi="Arial" w:eastAsia="黑体"/>
      <w:sz w:val="24"/>
    </w:rPr>
  </w:style>
  <w:style w:type="character" w:customStyle="1" w:styleId="82">
    <w:name w:val="标题 9 字符"/>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bidi="ar-SA"/>
    </w:rPr>
  </w:style>
  <w:style w:type="paragraph" w:customStyle="1" w:styleId="94">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AA6C34C-2934-4196-9AB4-74964D6C16FF}">
  <ds:schemaRefs/>
</ds:datastoreItem>
</file>

<file path=customXml/itemProps10.xml><?xml version="1.0" encoding="utf-8"?>
<ds:datastoreItem xmlns:ds="http://schemas.openxmlformats.org/officeDocument/2006/customXml" ds:itemID="{BCB7B9A4-5771-4773-B0BF-58A4DB4DC65A}">
  <ds:schemaRefs/>
</ds:datastoreItem>
</file>

<file path=customXml/itemProps2.xml><?xml version="1.0" encoding="utf-8"?>
<ds:datastoreItem xmlns:ds="http://schemas.openxmlformats.org/officeDocument/2006/customXml" ds:itemID="{22EA1479-0054-479D-8931-7F8C4F9CDB5A}">
  <ds:schemaRefs/>
</ds:datastoreItem>
</file>

<file path=customXml/itemProps3.xml><?xml version="1.0" encoding="utf-8"?>
<ds:datastoreItem xmlns:ds="http://schemas.openxmlformats.org/officeDocument/2006/customXml" ds:itemID="{F9C2D663-9D8C-4690-8BAF-0167C6E22CBF}">
  <ds:schemaRefs/>
</ds:datastoreItem>
</file>

<file path=customXml/itemProps4.xml><?xml version="1.0" encoding="utf-8"?>
<ds:datastoreItem xmlns:ds="http://schemas.openxmlformats.org/officeDocument/2006/customXml" ds:itemID="{0627D30F-6F3F-484B-A8DA-AAC31322CCA4}">
  <ds:schemaRefs/>
</ds:datastoreItem>
</file>

<file path=customXml/itemProps5.xml><?xml version="1.0" encoding="utf-8"?>
<ds:datastoreItem xmlns:ds="http://schemas.openxmlformats.org/officeDocument/2006/customXml" ds:itemID="{A12D5B85-5CDF-4805-9970-22828E423B7F}">
  <ds:schemaRefs/>
</ds:datastoreItem>
</file>

<file path=customXml/itemProps6.xml><?xml version="1.0" encoding="utf-8"?>
<ds:datastoreItem xmlns:ds="http://schemas.openxmlformats.org/officeDocument/2006/customXml" ds:itemID="{DCD2D1E6-C742-4B86-9CE5-3674E4ADCC7E}">
  <ds:schemaRefs/>
</ds:datastoreItem>
</file>

<file path=customXml/itemProps7.xml><?xml version="1.0" encoding="utf-8"?>
<ds:datastoreItem xmlns:ds="http://schemas.openxmlformats.org/officeDocument/2006/customXml" ds:itemID="{D1B86D0A-ABF1-4F19-8099-5C2F0FC74F66}">
  <ds:schemaRefs/>
</ds:datastoreItem>
</file>

<file path=customXml/itemProps8.xml><?xml version="1.0" encoding="utf-8"?>
<ds:datastoreItem xmlns:ds="http://schemas.openxmlformats.org/officeDocument/2006/customXml" ds:itemID="{67FED41C-E417-4AAE-8C88-325B170A7987}">
  <ds:schemaRefs/>
</ds:datastoreItem>
</file>

<file path=customXml/itemProps9.xml><?xml version="1.0" encoding="utf-8"?>
<ds:datastoreItem xmlns:ds="http://schemas.openxmlformats.org/officeDocument/2006/customXml" ds:itemID="{95A4CFE3-C15C-4021-8B5D-8CDB5835E86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20</Pages>
  <Words>1236</Words>
  <Characters>7048</Characters>
  <Lines>58</Lines>
  <Paragraphs>16</Paragraphs>
  <TotalTime>23</TotalTime>
  <ScaleCrop>false</ScaleCrop>
  <LinksUpToDate>false</LinksUpToDate>
  <CharactersWithSpaces>8268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2024-12-13T09:03:00Z</dcterms:created>
  <dc:creator>cdedu</dc:creator>
  <cp:lastModifiedBy>林胜</cp:lastModifiedBy>
  <cp:lastPrinted>2024-12-13T09:11:00Z</cp:lastPrinted>
  <dcterms:modified xsi:type="dcterms:W3CDTF">2025-01-06T09:07:49Z</dcterms:modified>
  <dc:title>询价通知书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