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98"/>
        <w:gridCol w:w="1320"/>
        <w:gridCol w:w="156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报名项目名称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报名公司（盖章）：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 xml:space="preserve">                    202 年  月  </w:t>
      </w:r>
      <w:bookmarkStart w:id="0" w:name="_GoBack"/>
      <w:bookmarkEnd w:id="0"/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  <w:t>公司营业执照副本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908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此处粘贴：公司营业执照副本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（加盖公章的扫描件）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/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  <w:t>公司拥有的特殊资质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908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此处粘贴公司拥有的：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《中华人民共和国特种设备生产许可证》（许可项目：电梯安装（含修理），曳引驱动乘客电梯许可参数：V&gt;1.0m/s）；或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《中华人民共和国特种设备生产许可证》（许可项目：电梯制造（含安装、修理）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（加盖公章的扫描件）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3F1"/>
    <w:multiLevelType w:val="singleLevel"/>
    <w:tmpl w:val="048B53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3216D"/>
    <w:rsid w:val="40BF777D"/>
    <w:rsid w:val="66D70B29"/>
    <w:rsid w:val="704E7716"/>
    <w:rsid w:val="7635037C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dcterms:modified xsi:type="dcterms:W3CDTF">2024-12-27T05:33:25Z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9269A02E8AB544FBADF3DCDD36EE6E2B</vt:lpwstr>
  </property>
</Properties>
</file>