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鸿雁南庭门市分户水表安装项目</w:t>
      </w:r>
    </w:p>
    <w:p>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（第四次）</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color w:val="auto"/>
          <w:sz w:val="32"/>
          <w:szCs w:val="32"/>
          <w:highlight w:val="yellow"/>
        </w:rPr>
      </w:pPr>
      <w:r>
        <w:rPr>
          <w:rFonts w:hint="eastAsia" w:ascii="宋体" w:hAnsi="宋体" w:cs="宋体"/>
          <w:b/>
          <w:bCs/>
          <w:color w:val="auto"/>
          <w:sz w:val="32"/>
          <w:szCs w:val="32"/>
          <w:highlight w:val="none"/>
        </w:rPr>
        <w:t>二</w:t>
      </w:r>
      <w:r>
        <w:rPr>
          <w:rFonts w:ascii="宋体" w:hAnsi="宋体" w:cs="宋体"/>
          <w:b/>
          <w:bCs/>
          <w:color w:val="auto"/>
          <w:sz w:val="32"/>
          <w:szCs w:val="32"/>
          <w:highlight w:val="none"/>
        </w:rPr>
        <w:t>O</w:t>
      </w:r>
      <w:r>
        <w:rPr>
          <w:rFonts w:hint="eastAsia" w:ascii="宋体" w:hAnsi="宋体" w:cs="宋体"/>
          <w:b/>
          <w:bCs/>
          <w:color w:val="auto"/>
          <w:sz w:val="32"/>
          <w:szCs w:val="32"/>
          <w:highlight w:val="none"/>
        </w:rPr>
        <w:t>二</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九</w:t>
      </w:r>
      <w:r>
        <w:rPr>
          <w:rFonts w:hint="eastAsia" w:ascii="宋体" w:hAnsi="宋体" w:cs="宋体"/>
          <w:b/>
          <w:bCs/>
          <w:color w:val="auto"/>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837"/>
      <w:bookmarkStart w:id="1" w:name="_Toc211679176"/>
      <w:bookmarkStart w:id="2" w:name="_Toc180296779"/>
      <w:bookmarkStart w:id="3" w:name="_Toc173895652"/>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鸿雁南庭门市分户水表安装项目（第四次）</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资阳市中心医院鸿雁南庭门市分户水表安装项目（第四次）</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预算32022元，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7.1</w:t>
      </w: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pStyle w:val="2"/>
        <w:ind w:firstLine="420" w:firstLineChars="200"/>
        <w:rPr>
          <w:rFonts w:hint="default" w:eastAsia="宋体"/>
          <w:b/>
          <w:bCs/>
          <w:color w:val="auto"/>
          <w:highlight w:val="none"/>
          <w:lang w:val="en-US" w:eastAsia="zh-CN"/>
        </w:rPr>
      </w:pPr>
      <w:r>
        <w:rPr>
          <w:rFonts w:hint="eastAsia" w:ascii="宋体" w:hAnsi="宋体" w:cs="宋体"/>
          <w:b/>
          <w:bCs/>
          <w:color w:val="auto"/>
          <w:kern w:val="0"/>
          <w:highlight w:val="none"/>
          <w:lang w:val="en-US" w:eastAsia="zh-CN"/>
        </w:rPr>
        <w:t>7.2</w:t>
      </w:r>
      <w:r>
        <w:rPr>
          <w:rFonts w:hint="eastAsia" w:ascii="宋体" w:hAnsi="宋体" w:cs="宋体"/>
          <w:b/>
          <w:bCs/>
          <w:color w:val="auto"/>
          <w:kern w:val="0"/>
          <w:highlight w:val="none"/>
        </w:rPr>
        <w:t>供应商</w:t>
      </w:r>
      <w:r>
        <w:rPr>
          <w:rFonts w:hint="eastAsia" w:ascii="宋体" w:hAnsi="宋体" w:cs="宋体"/>
          <w:b/>
          <w:bCs/>
          <w:color w:val="auto"/>
          <w:kern w:val="0"/>
          <w:highlight w:val="none"/>
          <w:lang w:val="en-US" w:eastAsia="zh-CN"/>
        </w:rPr>
        <w:t>具有供应、排水、管道安装等相关资质。</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bookmarkStart w:id="45" w:name="_GoBack"/>
      <w:bookmarkEnd w:id="45"/>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w:t>
      </w:r>
      <w:r>
        <w:rPr>
          <w:rFonts w:hint="eastAsia" w:ascii="宋体" w:hAnsi="宋体" w:cs="宋体"/>
          <w:color w:val="auto"/>
          <w:kern w:val="0"/>
          <w:highlight w:val="none"/>
          <w:lang w:val="en-US" w:eastAsia="zh-CN"/>
        </w:rPr>
        <w:t>2024年9月10日至2024年9月13日，</w:t>
      </w:r>
      <w:r>
        <w:rPr>
          <w:rFonts w:hint="eastAsia" w:ascii="宋体" w:hAnsi="宋体" w:cs="宋体"/>
          <w:kern w:val="0"/>
          <w:highlight w:val="none"/>
          <w:lang w:val="en-US" w:eastAsia="zh-CN"/>
        </w:rPr>
        <w:t>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color w:val="auto"/>
          <w:kern w:val="0"/>
          <w:highlight w:val="none"/>
          <w:lang w:val="en-US" w:eastAsia="zh-CN"/>
        </w:rPr>
        <w:t>2024年9月14日</w:t>
      </w:r>
      <w:r>
        <w:rPr>
          <w:rFonts w:hint="eastAsia" w:ascii="宋体" w:hAnsi="宋体" w:cs="宋体"/>
          <w:kern w:val="0"/>
          <w:highlight w:val="none"/>
          <w:lang w:val="en-US" w:eastAsia="zh-CN"/>
        </w:rPr>
        <w:t>13时30分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eastAsia" w:ascii="方正黑体_GBK" w:hAnsi="方正黑体_GBK" w:eastAsia="方正黑体_GBK" w:cs="方正黑体_GBK"/>
          <w:b/>
          <w:bCs/>
          <w:kern w:val="44"/>
          <w:sz w:val="32"/>
          <w:szCs w:val="32"/>
          <w:highlight w:val="none"/>
        </w:rPr>
      </w:pPr>
      <w:r>
        <w:rPr>
          <w:rFonts w:hint="eastAsia" w:ascii="宋体" w:hAnsi="宋体" w:cs="宋体"/>
          <w:kern w:val="0"/>
          <w:highlight w:val="none"/>
          <w:lang w:val="en-US" w:eastAsia="zh-CN"/>
        </w:rPr>
        <w:t>采购部联系电话及联系人：028-26655128  陈老师。供应商如有涉及招标文件“第一章中合格供应商应具备的资格条件”、“第三章 采购清单及技术要求”的事项不明需释义，联系电话及联系人：028-26226300  朱老师</w:t>
      </w:r>
      <w:r>
        <w:rPr>
          <w:rFonts w:hint="eastAsia" w:ascii="宋体" w:hAnsi="宋体" w:cs="宋体"/>
          <w:kern w:val="0"/>
          <w:highlight w:val="none"/>
          <w:lang w:val="en-US" w:eastAsia="zh-CN"/>
        </w:rPr>
        <w:br w:type="page"/>
      </w:r>
      <w:r>
        <w:rPr>
          <w:rFonts w:hint="eastAsia" w:ascii="宋体" w:hAnsi="宋体" w:cs="宋体"/>
          <w:kern w:val="0"/>
          <w:highlight w:val="none"/>
          <w:lang w:val="en-US" w:eastAsia="zh-CN"/>
        </w:rPr>
        <w:t xml:space="preserve">                   </w:t>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80296780"/>
      <w:bookmarkStart w:id="7" w:name="_Toc211679177"/>
      <w:bookmarkStart w:id="8" w:name="_Toc173895838"/>
      <w:bookmarkStart w:id="9" w:name="_Toc173895653"/>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840"/>
      <w:bookmarkStart w:id="11" w:name="_Toc173895655"/>
      <w:bookmarkStart w:id="12" w:name="_Toc211679179"/>
      <w:bookmarkStart w:id="13" w:name="_Toc180296782"/>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制作、安装、人工、机械、辅材、保险、代理、培训、税、费、验收前成品保护和交付后的质保等费用，以及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w:t>
      </w:r>
      <w:r>
        <w:rPr>
          <w:rFonts w:hint="eastAsia" w:ascii="宋体" w:hAnsi="宋体" w:cs="宋体"/>
          <w:b/>
          <w:bCs/>
          <w:kern w:val="0"/>
          <w:highlight w:val="none"/>
          <w:lang w:eastAsia="zh-CN"/>
        </w:rPr>
        <w:t>比选人</w:t>
      </w:r>
      <w:r>
        <w:rPr>
          <w:rFonts w:hint="eastAsia" w:ascii="宋体" w:hAnsi="宋体" w:eastAsia="宋体" w:cs="宋体"/>
          <w:b/>
          <w:bCs/>
          <w:kern w:val="0"/>
          <w:highlight w:val="none"/>
        </w:rPr>
        <w:t>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w:t>
      </w:r>
      <w:r>
        <w:rPr>
          <w:rFonts w:hint="eastAsia" w:ascii="宋体" w:hAnsi="宋体" w:cs="宋体"/>
          <w:kern w:val="0"/>
          <w:highlight w:val="none"/>
          <w:lang w:val="en-US" w:eastAsia="zh-CN"/>
        </w:rPr>
        <w:t>比选人</w:t>
      </w:r>
      <w:r>
        <w:rPr>
          <w:rFonts w:hint="eastAsia" w:ascii="宋体" w:hAnsi="宋体" w:eastAsia="宋体" w:cs="宋体"/>
          <w:kern w:val="0"/>
          <w:highlight w:val="none"/>
          <w:lang w:val="en-US" w:eastAsia="zh-CN"/>
        </w:rPr>
        <w:t>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210211733"/>
      <w:bookmarkStart w:id="16" w:name="_Toc115628325"/>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w:t>
      </w:r>
      <w:r>
        <w:rPr>
          <w:rFonts w:hint="eastAsia" w:ascii="宋体" w:hAnsi="宋体" w:cs="宋体"/>
          <w:kern w:val="0"/>
          <w:highlight w:val="none"/>
          <w:lang w:eastAsia="zh-CN"/>
        </w:rPr>
        <w:t>比选人</w:t>
      </w:r>
      <w:r>
        <w:rPr>
          <w:rFonts w:hint="eastAsia" w:ascii="宋体" w:hAnsi="宋体" w:cs="宋体"/>
          <w:kern w:val="0"/>
          <w:highlight w:val="none"/>
        </w:rPr>
        <w:t>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842"/>
      <w:bookmarkStart w:id="23" w:name="_Toc173895657"/>
      <w:bookmarkStart w:id="24" w:name="_Toc211679181"/>
      <w:bookmarkStart w:id="25" w:name="_Toc180296784"/>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建设工程质量管理条例》及其他有关法律，甲、乙双方同意签订本合同。详细技术说明及其他有关合同项目的特定信息由合同附件予以说明，合同附件及本项目的招标文件、响应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w:t>
      </w:r>
      <w:r>
        <w:rPr>
          <w:rFonts w:hint="eastAsia" w:ascii="宋体" w:hAnsi="宋体" w:cs="宋体"/>
          <w:kern w:val="0"/>
          <w:highlight w:val="none"/>
          <w:u w:val="single"/>
          <w:lang w:val="en-US" w:eastAsia="zh-CN"/>
        </w:rPr>
        <w:t xml:space="preserve">鸿雁南庭门市分户水表安装项目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w:t>
      </w:r>
      <w:r>
        <w:rPr>
          <w:rFonts w:hint="eastAsia" w:ascii="宋体" w:hAnsi="宋体" w:eastAsia="宋体" w:cs="宋体"/>
          <w:color w:val="auto"/>
          <w:kern w:val="0"/>
          <w:highlight w:val="none"/>
          <w:u w:val="none"/>
          <w:lang w:val="en-US" w:eastAsia="zh-CN"/>
        </w:rPr>
        <w:t>资阳市中心医院</w:t>
      </w:r>
      <w:r>
        <w:rPr>
          <w:rFonts w:hint="eastAsia" w:ascii="宋体" w:hAnsi="宋体" w:cs="宋体"/>
          <w:color w:val="auto"/>
          <w:kern w:val="0"/>
          <w:highlight w:val="none"/>
          <w:u w:val="none"/>
          <w:lang w:val="en-US" w:eastAsia="zh-CN"/>
        </w:rPr>
        <w:t>鸿雁南庭门市</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lang w:val="en-US" w:eastAsia="zh-CN"/>
        </w:rPr>
        <w:t>详见分部分项工程清单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bookmarkStart w:id="27" w:name="_Toc3514_WPSOffice_Level1"/>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bookmarkStart w:id="28" w:name="_Toc23191_WPSOffice_Level1"/>
      <w:r>
        <w:rPr>
          <w:rFonts w:hint="eastAsia" w:ascii="宋体" w:hAnsi="宋体" w:cstheme="minorBidi"/>
          <w:color w:val="auto"/>
          <w:kern w:val="2"/>
          <w:sz w:val="21"/>
          <w:szCs w:val="21"/>
          <w:highlight w:val="none"/>
          <w:lang w:val="en-US" w:eastAsia="zh-CN" w:bidi="ar-SA"/>
        </w:rPr>
        <w:t>安装供水正常经采购人验收合格后，供应商编制工程量结算清单，经采购人协议审计公司审计后，施工方按审定金额向采购人出具全额合法有效增值税发票，次月内采购人按审定金额支付100%。</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16"/>
        <w:ind w:firstLine="420" w:firstLineChars="200"/>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0.0002</w:t>
            </w:r>
            <w:r>
              <w:rPr>
                <w:rFonts w:hint="eastAsia" w:ascii="Arial" w:hAnsi="Arial"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tbl>
      <w:tblPr>
        <w:tblStyle w:val="27"/>
        <w:tblW w:w="8729"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按《建筑工程质量管理条例》执行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2、乙方在施工期间要严格遵守医院的规章制度，听从甲方现场指挥人员的安排。</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0</w:t>
      </w:r>
      <w:r>
        <w:rPr>
          <w:rFonts w:hint="eastAsia" w:ascii="宋体" w:hAnsi="宋体" w:eastAsia="宋体" w:cstheme="minorBidi"/>
          <w:kern w:val="2"/>
          <w:sz w:val="21"/>
          <w:szCs w:val="21"/>
          <w:highlight w:val="none"/>
          <w:lang w:val="en-US" w:eastAsia="zh-CN" w:bidi="ar-SA"/>
        </w:rPr>
        <w:t>、</w:t>
      </w:r>
      <w:bookmarkStart w:id="34" w:name="_Toc20965_WPSOffice_Level1"/>
      <w:r>
        <w:rPr>
          <w:rFonts w:hint="eastAsia" w:ascii="宋体" w:hAnsi="宋体" w:eastAsia="宋体" w:cstheme="minorBidi"/>
          <w:kern w:val="2"/>
          <w:sz w:val="21"/>
          <w:szCs w:val="21"/>
          <w:highlight w:val="none"/>
          <w:lang w:val="en-US" w:eastAsia="zh-CN" w:bidi="ar-SA"/>
        </w:rPr>
        <w:t>乙方在施工过程中应注意爱护甲方的财产、物品。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工程所在地人民法院解决。</w:t>
      </w:r>
    </w:p>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法定代表人（授权代表）：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地    址：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开户银行：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账号：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本项目共1个包，比选资阳市中心医院鸿雁南庭门市分户水表安装项目（第四次）。本项目最高预算32022元。</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工期：自合同签订后20天内。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施工地点：</w:t>
      </w:r>
      <w:r>
        <w:rPr>
          <w:rFonts w:hint="eastAsia"/>
          <w:color w:val="auto"/>
          <w:lang w:val="en-US" w:eastAsia="zh-CN"/>
        </w:rPr>
        <w:t>我院位于</w:t>
      </w:r>
      <w:r>
        <w:rPr>
          <w:rFonts w:hint="eastAsia" w:ascii="宋体" w:hAnsi="宋体" w:cstheme="minorBidi"/>
          <w:color w:val="auto"/>
          <w:kern w:val="2"/>
          <w:sz w:val="21"/>
          <w:szCs w:val="21"/>
          <w:highlight w:val="none"/>
          <w:lang w:val="en-US" w:eastAsia="zh-CN" w:bidi="ar-SA"/>
        </w:rPr>
        <w:t>鸿雁南庭二层营业用房，乙方需在甲方指定的单元主水管道切口安装使用水管道及分户表。</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付款条件：安装供水正常经采购人验收合格后，供应商编制工程量结算清单，经采购人协议审计公司审计后，施工方按审定金额向采购人出具全额合法有效增值税发票，次月内采购人按审定金额支付100%。</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工程服务形式：</w:t>
      </w:r>
      <w:r>
        <w:rPr>
          <w:rFonts w:hint="eastAsia" w:ascii="宋体" w:hAnsi="宋体" w:eastAsia="宋体" w:cstheme="minorBidi"/>
          <w:kern w:val="2"/>
          <w:sz w:val="21"/>
          <w:szCs w:val="21"/>
          <w:highlight w:val="none"/>
          <w:lang w:val="en-US" w:eastAsia="zh-CN" w:bidi="ar-SA"/>
        </w:rPr>
        <w:t>包工、包料、包工期、包质量。</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安装要求：所安装的管道、水表需达到安装标准规范。</w:t>
      </w:r>
    </w:p>
    <w:p>
      <w:pPr>
        <w:pageBreakBefore w:val="0"/>
        <w:widowControl/>
        <w:numPr>
          <w:ilvl w:val="0"/>
          <w:numId w:val="3"/>
        </w:numPr>
        <w:kinsoku/>
        <w:wordWrap/>
        <w:overflowPunct/>
        <w:topLinePunct w:val="0"/>
        <w:autoSpaceDE/>
        <w:autoSpaceDN/>
        <w:bidi w:val="0"/>
        <w:spacing w:line="400" w:lineRule="exact"/>
        <w:ind w:left="0" w:leftChars="0" w:firstLine="0" w:firstLineChars="0"/>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质保期：乙方提供的水管、水表、管件质保期为1年。</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pPr>
        <w:pStyle w:val="2"/>
        <w:numPr>
          <w:ilvl w:val="0"/>
          <w:numId w:val="4"/>
        </w:numPr>
        <w:rPr>
          <w:rFonts w:hint="eastAsia" w:eastAsia="宋体"/>
          <w:color w:val="auto"/>
          <w:lang w:val="en-US" w:eastAsia="zh-CN"/>
        </w:rPr>
      </w:pPr>
      <w:r>
        <w:rPr>
          <w:rFonts w:hint="eastAsia" w:eastAsia="宋体"/>
          <w:color w:val="auto"/>
          <w:lang w:val="en-US" w:eastAsia="zh-CN"/>
        </w:rPr>
        <w:t>售后服务（质保）要求：按照《建筑工程质量管理条例》执行。</w:t>
      </w:r>
    </w:p>
    <w:p>
      <w:pPr>
        <w:pStyle w:val="2"/>
        <w:numPr>
          <w:ilvl w:val="0"/>
          <w:numId w:val="4"/>
        </w:numPr>
        <w:rPr>
          <w:rFonts w:hint="default"/>
          <w:color w:val="auto"/>
          <w:lang w:val="en-US" w:eastAsia="zh-CN"/>
        </w:rPr>
      </w:pPr>
      <w:r>
        <w:rPr>
          <w:rFonts w:hint="eastAsia"/>
          <w:color w:val="auto"/>
          <w:lang w:val="en-US" w:eastAsia="zh-CN"/>
        </w:rPr>
        <w:t>产品要求：乙方须提供全新无质量问题的管道、水表及零配件。</w:t>
      </w:r>
    </w:p>
    <w:p>
      <w:pPr>
        <w:pStyle w:val="2"/>
        <w:numPr>
          <w:ilvl w:val="0"/>
          <w:numId w:val="4"/>
        </w:numPr>
        <w:rPr>
          <w:rFonts w:hint="default"/>
          <w:lang w:val="en-US" w:eastAsia="zh-CN"/>
        </w:rPr>
      </w:pPr>
      <w:r>
        <w:rPr>
          <w:rFonts w:hint="eastAsia"/>
          <w:color w:val="auto"/>
          <w:lang w:val="en-US" w:eastAsia="zh-CN"/>
        </w:rPr>
        <w:t>乙方所安装的水管、水表、管件必须符合国家相关质量标准。</w:t>
      </w:r>
    </w:p>
    <w:p>
      <w:pPr>
        <w:pStyle w:val="2"/>
        <w:numPr>
          <w:ilvl w:val="0"/>
          <w:numId w:val="4"/>
        </w:numPr>
        <w:rPr>
          <w:rFonts w:hint="eastAsia"/>
          <w:color w:val="auto"/>
          <w:lang w:val="en-US" w:eastAsia="zh-CN"/>
        </w:rPr>
      </w:pPr>
      <w:r>
        <w:rPr>
          <w:rFonts w:hint="eastAsia"/>
          <w:color w:val="auto"/>
          <w:lang w:val="en-US" w:eastAsia="zh-CN"/>
        </w:rPr>
        <w:t>建设内容：我院位于鸿雁南庭二层营业用房共计28户，拟在原有总水表后，安装水管、闸阀及分户表，承包人提供主要材料和工程设备一览表、分部分项工程清单与计价表、投标报价汇总表如下：</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rPr>
          <w:rFonts w:hint="eastAsia"/>
          <w:color w:val="auto"/>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pStyle w:val="2"/>
        <w:rPr>
          <w:rFonts w:hint="eastAsia"/>
          <w:lang w:val="en-US" w:eastAsia="zh-CN"/>
        </w:rPr>
      </w:pPr>
    </w:p>
    <w:tbl>
      <w:tblPr>
        <w:tblStyle w:val="27"/>
        <w:tblW w:w="8729"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73895658"/>
      <w:bookmarkStart w:id="36" w:name="_Toc180296788"/>
      <w:bookmarkStart w:id="37" w:name="_Toc173895846"/>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80296789"/>
      <w:bookmarkStart w:id="40" w:name="_Toc211679186"/>
      <w:bookmarkStart w:id="41" w:name="_Toc173895659"/>
      <w:bookmarkStart w:id="42" w:name="_Toc173895847"/>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numPr>
          <w:ilvl w:val="0"/>
          <w:numId w:val="5"/>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widowControl w:val="0"/>
        <w:numPr>
          <w:ilvl w:val="0"/>
          <w:numId w:val="0"/>
        </w:numPr>
        <w:spacing w:after="120"/>
        <w:jc w:val="both"/>
      </w:pPr>
    </w:p>
    <w:p/>
    <w:p>
      <w:pPr>
        <w:pStyle w:val="2"/>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both"/>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供应商具有供应、排水、管道安装等相关资质</w:t>
      </w:r>
      <w:r>
        <w:rPr>
          <w:rFonts w:hint="eastAsia" w:cs="宋体"/>
          <w:b w:val="0"/>
          <w:bCs w:val="0"/>
          <w:kern w:val="0"/>
          <w:sz w:val="21"/>
          <w:szCs w:val="21"/>
          <w:highlight w:val="none"/>
          <w:lang w:val="en-US" w:eastAsia="zh-CN" w:bidi="ar-SA"/>
        </w:rPr>
        <w:t>。</w:t>
      </w: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鸿雁南庭门市分户水表安装项目（第四次）</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tbl>
      <w:tblPr>
        <w:tblStyle w:val="27"/>
        <w:tblW w:w="8699" w:type="dxa"/>
        <w:tblInd w:w="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pStyle w:val="2"/>
        <w:rPr>
          <w:rFonts w:hint="eastAsia"/>
          <w:lang w:eastAsia="zh-CN"/>
        </w:rPr>
      </w:pPr>
    </w:p>
    <w:p>
      <w:pPr>
        <w:spacing w:line="360" w:lineRule="auto"/>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5878703"/>
      <w:bookmarkStart w:id="44"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鸿雁南庭门市分户水表安装项目（第四次）</w:t>
      </w:r>
    </w:p>
    <w:tbl>
      <w:tblPr>
        <w:tblStyle w:val="27"/>
        <w:tblW w:w="870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180"/>
        <w:gridCol w:w="1395"/>
        <w:gridCol w:w="144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承包人提供主要材料和工程设备一览表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名称、规格、型号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软密封铸铁表前阀DN20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软密封闸阀DN20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抗干扰阀DN20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物联网远传水表DN20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PPR三通DN50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PPR弯头DN50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PPR管帽DN50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PPR外丝直接DN50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PPR分水器6孔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PPR分水器7孔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PPR分水器4孔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钢筋φ12～16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焊条综合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镀锌铁丝22#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kg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0.0002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bl>
    <w:p>
      <w:pPr>
        <w:pStyle w:val="2"/>
        <w:rPr>
          <w:rFonts w:hint="eastAsia"/>
          <w:lang w:val="en-US" w:eastAsia="zh-CN"/>
        </w:rPr>
      </w:pPr>
    </w:p>
    <w:tbl>
      <w:tblPr>
        <w:tblStyle w:val="27"/>
        <w:tblW w:w="871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60"/>
        <w:gridCol w:w="2041"/>
        <w:gridCol w:w="750"/>
        <w:gridCol w:w="794"/>
        <w:gridCol w:w="841"/>
        <w:gridCol w:w="855"/>
        <w:gridCol w:w="9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项目名称</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项目特征描述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计量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工程量</w:t>
            </w:r>
          </w:p>
        </w:tc>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综合</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合价</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定额人工费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定额机</w:t>
            </w:r>
          </w:p>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i w:val="0"/>
                <w:iCs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PPR管DN50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2.介质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3.材质、规格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5.阻火圈设计要求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6.压力试验及吹、洗设计要求</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7.警示带形式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阀门DN20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1.类型</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2.材质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3.规格、压力等级</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5.焊接方法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84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物联网远传水表</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DN20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1.安装部位(室内外)</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2.型号、规格</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3.连接形式</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4.附件配置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现浇构件钢筋φ12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1.钢筋种类</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2.钢筋规格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0.002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    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p>
      <w:pPr>
        <w:rPr>
          <w:rFonts w:hint="eastAsia"/>
          <w:lang w:val="en-US" w:eastAsia="zh-CN"/>
        </w:rPr>
      </w:pPr>
    </w:p>
    <w:tbl>
      <w:tblPr>
        <w:tblStyle w:val="27"/>
        <w:tblW w:w="8729"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5325"/>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2"/>
                <w:szCs w:val="32"/>
                <w:u w:val="none"/>
              </w:rPr>
            </w:pPr>
            <w:r>
              <w:rPr>
                <w:rFonts w:ascii="宋体" w:hAnsi="宋体" w:eastAsia="宋体" w:cs="宋体"/>
                <w:b/>
                <w:bCs/>
                <w:i w:val="0"/>
                <w:iCs w:val="0"/>
                <w:color w:val="000000"/>
                <w:kern w:val="0"/>
                <w:sz w:val="32"/>
                <w:szCs w:val="32"/>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序号</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汇总内容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 ( 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分部分项及单价措施项目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给排水、采暖、燃气工程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总价措施项目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其中：安全文明施工费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其中：暂列金额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其中：专业工程暂估价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其中：计日工</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其中：总承包服务费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规费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创优质工程奖补偿奖励费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税前不含税工程造价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其中：除税甲供材料(设备)费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销项增值税额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投标报价总价合计=税前不含税工程造价+销项增值税额+附加税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default" w:ascii="Arial" w:hAnsi="Arial" w:cs="Arial"/>
                <w:i w:val="0"/>
                <w:iCs w:val="0"/>
                <w:color w:val="000000"/>
                <w:sz w:val="20"/>
                <w:szCs w:val="20"/>
                <w:u w:val="none"/>
              </w:rPr>
            </w:pPr>
          </w:p>
        </w:tc>
      </w:tr>
    </w:tbl>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0FDFE"/>
    <w:multiLevelType w:val="singleLevel"/>
    <w:tmpl w:val="B020FDFE"/>
    <w:lvl w:ilvl="0" w:tentative="0">
      <w:start w:val="1"/>
      <w:numFmt w:val="chineseCounting"/>
      <w:suff w:val="nothing"/>
      <w:lvlText w:val="%1、"/>
      <w:lvlJc w:val="left"/>
      <w:rPr>
        <w:rFonts w:hint="eastAsia"/>
      </w:rPr>
    </w:lvl>
  </w:abstractNum>
  <w:abstractNum w:abstractNumId="1">
    <w:nsid w:val="B829BE55"/>
    <w:multiLevelType w:val="singleLevel"/>
    <w:tmpl w:val="B829BE55"/>
    <w:lvl w:ilvl="0" w:tentative="0">
      <w:start w:val="2"/>
      <w:numFmt w:val="decimal"/>
      <w:suff w:val="nothing"/>
      <w:lvlText w:val="%1、"/>
      <w:lvlJc w:val="left"/>
    </w:lvl>
  </w:abstractNum>
  <w:abstractNum w:abstractNumId="2">
    <w:nsid w:val="E9A63842"/>
    <w:multiLevelType w:val="singleLevel"/>
    <w:tmpl w:val="E9A63842"/>
    <w:lvl w:ilvl="0" w:tentative="0">
      <w:start w:val="1"/>
      <w:numFmt w:val="decimal"/>
      <w:lvlText w:val="%1."/>
      <w:lvlJc w:val="left"/>
      <w:pPr>
        <w:tabs>
          <w:tab w:val="left" w:pos="312"/>
        </w:tabs>
      </w:pPr>
    </w:lvl>
  </w:abstractNum>
  <w:abstractNum w:abstractNumId="3">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5">
    <w:nsid w:val="31181D9D"/>
    <w:multiLevelType w:val="singleLevel"/>
    <w:tmpl w:val="31181D9D"/>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215F"/>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C0B71"/>
    <w:rsid w:val="04BD45DF"/>
    <w:rsid w:val="04EC335E"/>
    <w:rsid w:val="04F25C61"/>
    <w:rsid w:val="052102F4"/>
    <w:rsid w:val="054D4328"/>
    <w:rsid w:val="055006BF"/>
    <w:rsid w:val="05593A33"/>
    <w:rsid w:val="0560706F"/>
    <w:rsid w:val="05684A68"/>
    <w:rsid w:val="05726DA2"/>
    <w:rsid w:val="05CA273A"/>
    <w:rsid w:val="05CC726C"/>
    <w:rsid w:val="05FB2B3C"/>
    <w:rsid w:val="06093262"/>
    <w:rsid w:val="0624108F"/>
    <w:rsid w:val="06604C4F"/>
    <w:rsid w:val="067B57E2"/>
    <w:rsid w:val="06847ACE"/>
    <w:rsid w:val="06904C71"/>
    <w:rsid w:val="069F5C99"/>
    <w:rsid w:val="06B153F1"/>
    <w:rsid w:val="06E45A7E"/>
    <w:rsid w:val="072C69F3"/>
    <w:rsid w:val="072E1BF1"/>
    <w:rsid w:val="0757624F"/>
    <w:rsid w:val="077F5B2D"/>
    <w:rsid w:val="07AB1043"/>
    <w:rsid w:val="07C644D1"/>
    <w:rsid w:val="07CB035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EB35EA"/>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EB77B4"/>
    <w:rsid w:val="14F43330"/>
    <w:rsid w:val="14F745A8"/>
    <w:rsid w:val="15023C9F"/>
    <w:rsid w:val="15311781"/>
    <w:rsid w:val="15455939"/>
    <w:rsid w:val="15B30AF5"/>
    <w:rsid w:val="15B84A34"/>
    <w:rsid w:val="15C22D1C"/>
    <w:rsid w:val="15D51D78"/>
    <w:rsid w:val="15E6711C"/>
    <w:rsid w:val="1619668A"/>
    <w:rsid w:val="16283094"/>
    <w:rsid w:val="1638724C"/>
    <w:rsid w:val="163C4F8E"/>
    <w:rsid w:val="16432F4E"/>
    <w:rsid w:val="166C5006"/>
    <w:rsid w:val="167128B5"/>
    <w:rsid w:val="16855EEF"/>
    <w:rsid w:val="1686478D"/>
    <w:rsid w:val="168D3A3C"/>
    <w:rsid w:val="16A86180"/>
    <w:rsid w:val="16AB0AA6"/>
    <w:rsid w:val="16AD3796"/>
    <w:rsid w:val="16B56AEF"/>
    <w:rsid w:val="16B9038D"/>
    <w:rsid w:val="16EF5ED5"/>
    <w:rsid w:val="170964E8"/>
    <w:rsid w:val="172259DD"/>
    <w:rsid w:val="174F6496"/>
    <w:rsid w:val="175C1F7E"/>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213D29"/>
    <w:rsid w:val="1C47643B"/>
    <w:rsid w:val="1C4C1CA3"/>
    <w:rsid w:val="1C56042C"/>
    <w:rsid w:val="1C5A616E"/>
    <w:rsid w:val="1C8361D3"/>
    <w:rsid w:val="1C890801"/>
    <w:rsid w:val="1CD13A03"/>
    <w:rsid w:val="1CD97226"/>
    <w:rsid w:val="1CEB19AB"/>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90136D"/>
    <w:rsid w:val="24AA3A0B"/>
    <w:rsid w:val="24BB5C18"/>
    <w:rsid w:val="24C83E91"/>
    <w:rsid w:val="24CA2E4E"/>
    <w:rsid w:val="24E7641E"/>
    <w:rsid w:val="24ED62A3"/>
    <w:rsid w:val="25162E4E"/>
    <w:rsid w:val="254120B6"/>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182D0C"/>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6A71422"/>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605A6"/>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C20DB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C50D1"/>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BC6665"/>
    <w:rsid w:val="48C76BF4"/>
    <w:rsid w:val="48D80297"/>
    <w:rsid w:val="48DC4558"/>
    <w:rsid w:val="48E42798"/>
    <w:rsid w:val="48ED4502"/>
    <w:rsid w:val="48FD7CFE"/>
    <w:rsid w:val="4994190E"/>
    <w:rsid w:val="49A05F7A"/>
    <w:rsid w:val="49C03205"/>
    <w:rsid w:val="49EC7DA0"/>
    <w:rsid w:val="49F27FBC"/>
    <w:rsid w:val="4A6063A2"/>
    <w:rsid w:val="4A893211"/>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0FBF"/>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492EE0"/>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0E1B09"/>
    <w:rsid w:val="53146370"/>
    <w:rsid w:val="531D6B24"/>
    <w:rsid w:val="5331390D"/>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6A127BA"/>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5F39D3"/>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40375"/>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AD0DAC"/>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2A1602"/>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0F95E19"/>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00625"/>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2951D4"/>
    <w:rsid w:val="773F135E"/>
    <w:rsid w:val="77476F3F"/>
    <w:rsid w:val="779660A9"/>
    <w:rsid w:val="779E0DD3"/>
    <w:rsid w:val="77AB07A1"/>
    <w:rsid w:val="77AE3DED"/>
    <w:rsid w:val="77BE3966"/>
    <w:rsid w:val="77CD3C2E"/>
    <w:rsid w:val="77D70DAD"/>
    <w:rsid w:val="77E91B2A"/>
    <w:rsid w:val="77F03C76"/>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9E67414"/>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3A20F4"/>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75A16"/>
    <w:rsid w:val="7E392313"/>
    <w:rsid w:val="7E4E2DEB"/>
    <w:rsid w:val="7E5C01D5"/>
    <w:rsid w:val="7E8027FE"/>
    <w:rsid w:val="7EA74FE6"/>
    <w:rsid w:val="7EAF6DC9"/>
    <w:rsid w:val="7EB443DF"/>
    <w:rsid w:val="7EBE525E"/>
    <w:rsid w:val="7F08297D"/>
    <w:rsid w:val="7F1E3EE2"/>
    <w:rsid w:val="7F2822D2"/>
    <w:rsid w:val="7F5022DE"/>
    <w:rsid w:val="7F7D6F04"/>
    <w:rsid w:val="7F8D4A96"/>
    <w:rsid w:val="7FA827EA"/>
    <w:rsid w:val="7FC41C0E"/>
    <w:rsid w:val="7FD10FAD"/>
    <w:rsid w:val="7FD45B4F"/>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364</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WPS_布丁和不点</cp:lastModifiedBy>
  <cp:lastPrinted>2024-09-10T02:24:16Z</cp:lastPrinted>
  <dcterms:modified xsi:type="dcterms:W3CDTF">2024-09-10T02:29:55Z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