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auto"/>
          <w:kern w:val="0"/>
          <w:sz w:val="36"/>
          <w:szCs w:val="36"/>
          <w:u w:val="none"/>
          <w:lang w:val="en-US" w:eastAsia="zh-CN" w:bidi="ar"/>
        </w:rPr>
        <w:t>口腔正畸专家远程诊疗平台服务</w:t>
      </w: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项目调研公告</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对医院口腔正畸专家远程诊疗平台服务项目进行市场调研,现公开征集相关资料</w:t>
      </w:r>
      <w:r>
        <w:rPr>
          <w:rFonts w:hint="eastAsia" w:ascii="仿宋" w:hAnsi="仿宋" w:eastAsia="仿宋" w:cs="仿宋"/>
          <w:i w:val="0"/>
          <w:iCs w:val="0"/>
          <w:color w:val="000000"/>
          <w:sz w:val="28"/>
          <w:szCs w:val="28"/>
          <w:u w:val="none"/>
          <w:lang w:val="en-US" w:eastAsia="zh-CN"/>
        </w:rPr>
        <w:t>,欢迎各潜在供应商进行报名，现将有关事宜公告如下：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default" w:ascii="仿宋" w:hAnsi="仿宋" w:eastAsia="仿宋" w:cs="仿宋"/>
          <w:i w:val="0"/>
          <w:iCs w:val="0"/>
          <w:color w:val="auto"/>
          <w:kern w:val="2"/>
          <w:sz w:val="28"/>
          <w:szCs w:val="28"/>
          <w:u w:val="none"/>
          <w:lang w:val="en-US" w:eastAsia="zh-CN" w:bidi="zh-CN"/>
        </w:rPr>
      </w:pPr>
      <w:r>
        <w:rPr>
          <w:rFonts w:hint="eastAsia"/>
          <w:color w:val="0000FF"/>
          <w:lang w:val="en-US" w:eastAsia="zh-CN"/>
        </w:rPr>
        <w:t xml:space="preserve">   </w:t>
      </w:r>
      <w:r>
        <w:rPr>
          <w:rFonts w:hint="eastAsia"/>
          <w:color w:val="auto"/>
          <w:lang w:val="en-US" w:eastAsia="zh-CN"/>
        </w:rPr>
        <w:t xml:space="preserve"> </w:t>
      </w:r>
      <w:r>
        <w:rPr>
          <w:rFonts w:hint="eastAsia" w:ascii="仿宋" w:hAnsi="仿宋" w:eastAsia="仿宋" w:cs="仿宋"/>
          <w:i w:val="0"/>
          <w:iCs w:val="0"/>
          <w:color w:val="auto"/>
          <w:kern w:val="2"/>
          <w:sz w:val="28"/>
          <w:szCs w:val="28"/>
          <w:u w:val="none"/>
          <w:lang w:val="en-US" w:eastAsia="zh-CN" w:bidi="zh-CN"/>
        </w:rPr>
        <w:t xml:space="preserve"> 为提升口腔医疗服务的质量和效率，满足人民群众的口腔健康需求，旨在建设区域医疗中心，辐射辐射引领资阳市口腔行业的技术提升与事业发展。</w:t>
      </w:r>
    </w:p>
    <w:p>
      <w:pPr>
        <w:keepNext w:val="0"/>
        <w:keepLines w:val="0"/>
        <w:pageBreakBefore w:val="0"/>
        <w:numPr>
          <w:ilvl w:val="0"/>
          <w:numId w:val="1"/>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项目要求</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688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numPr>
                <w:ilvl w:val="0"/>
                <w:numId w:val="0"/>
              </w:num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项目服务要求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系统具备对正畸患者多种类型数据采集的功能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系统具备对患者多类型数据的自动测量、分析与辅助诊断功能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系统具备正畸专家指导功能，基于患者多形式数据的分析诊断结果，自动形成正畸诊疗方案</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系统具备自动生成患者治疗方案PPT的功能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bookmarkStart w:id="42" w:name="_GoBack"/>
            <w:r>
              <w:rPr>
                <w:rFonts w:hint="eastAsia" w:ascii="宋体" w:hAnsi="宋体" w:eastAsia="宋体" w:cs="宋体"/>
                <w:b w:val="0"/>
                <w:bCs w:val="0"/>
                <w:i w:val="0"/>
                <w:iCs w:val="0"/>
                <w:color w:val="000000"/>
                <w:sz w:val="24"/>
                <w:szCs w:val="24"/>
                <w:u w:val="none"/>
                <w:lang w:val="en-US" w:eastAsia="zh-CN"/>
              </w:rPr>
              <w:t>5</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系统支持正畸专家远程对专家系统生成的治疗方案进行审核与修改、定稿</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bookmarkEnd w:id="4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系统支持专家与本院医生远程在线交流患者治疗方案</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bl>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w:t>
      </w:r>
      <w:r>
        <w:rPr>
          <w:rFonts w:hint="eastAsia" w:ascii="仿宋" w:hAnsi="仿宋" w:eastAsia="仿宋" w:cs="仿宋"/>
          <w:i w:val="0"/>
          <w:iCs w:val="0"/>
          <w:color w:val="auto"/>
          <w:sz w:val="28"/>
          <w:szCs w:val="28"/>
          <w:u w:val="none"/>
          <w:lang w:val="en-US" w:eastAsia="zh-CN"/>
        </w:rPr>
        <w:t>2024</w:t>
      </w:r>
      <w:r>
        <w:rPr>
          <w:rFonts w:hint="eastAsia" w:ascii="仿宋" w:hAnsi="仿宋" w:eastAsia="仿宋" w:cs="仿宋"/>
          <w:i w:val="0"/>
          <w:iCs w:val="0"/>
          <w:color w:val="000000"/>
          <w:sz w:val="28"/>
          <w:szCs w:val="28"/>
          <w:u w:val="none"/>
          <w:lang w:val="en-US" w:eastAsia="zh-CN"/>
        </w:rPr>
        <w:t>年  8月 14 日，公告截止日期后递交的报名资料无效。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i w:val="0"/>
          <w:iCs w:val="0"/>
          <w:color w:val="auto"/>
          <w:sz w:val="28"/>
          <w:szCs w:val="28"/>
          <w:u w:val="none"/>
          <w:lang w:val="en-US" w:eastAsia="zh-CN"/>
        </w:rPr>
        <w:t>1130020890@qq.com，</w:t>
      </w:r>
      <w:r>
        <w:rPr>
          <w:rFonts w:hint="eastAsia" w:ascii="仿宋" w:hAnsi="仿宋" w:eastAsia="仿宋" w:cs="仿宋"/>
          <w:i w:val="0"/>
          <w:iCs w:val="0"/>
          <w:color w:val="000000"/>
          <w:sz w:val="28"/>
          <w:szCs w:val="28"/>
          <w:u w:val="none"/>
          <w:lang w:val="en-US" w:eastAsia="zh-CN"/>
        </w:rPr>
        <w:t>并抄送至1539131388@qq.com。邮件名称：“XXXX项目名称+公司名称+联系人+联系电话）”报名资料目录见附件。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8-</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6</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195</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，并抄送至1539131388@qq.com。邮件名称：“XXXX项目名称（公司名称+联系人+联系电话）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_Toc28799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_Toc28799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_Toc6639 </w:instrText>
          </w:r>
          <w:r>
            <w:fldChar w:fldCharType="separate"/>
          </w:r>
          <w:r>
            <w:rPr>
              <w:rFonts w:hint="eastAsia"/>
              <w:lang w:val="en-US" w:eastAsia="zh-CN"/>
            </w:rPr>
            <w:t>二、资质：</w:t>
          </w:r>
          <w:r>
            <w:tab/>
          </w:r>
          <w:r>
            <w:fldChar w:fldCharType="begin"/>
          </w:r>
          <w:r>
            <w:instrText xml:space="preserve"> PAGEREF _Toc6639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_Toc14707 </w:instrText>
          </w:r>
          <w:r>
            <w:fldChar w:fldCharType="separate"/>
          </w:r>
          <w:r>
            <w:rPr>
              <w:rFonts w:hint="eastAsia"/>
              <w:lang w:val="en-US" w:eastAsia="zh-CN"/>
            </w:rPr>
            <w:t>2.1</w:t>
          </w:r>
          <w:r>
            <w:rPr>
              <w:rFonts w:hint="eastAsia"/>
            </w:rPr>
            <w:t>营业执照</w:t>
          </w:r>
          <w:r>
            <w:tab/>
          </w:r>
          <w:r>
            <w:fldChar w:fldCharType="begin"/>
          </w:r>
          <w:r>
            <w:instrText xml:space="preserve"> PAGEREF _Toc14707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_Toc18335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_Toc18335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_Toc22111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_Toc22111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_Toc16386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_Toc16386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_Toc15460 </w:instrText>
          </w:r>
          <w:r>
            <w:fldChar w:fldCharType="separate"/>
          </w:r>
          <w:r>
            <w:rPr>
              <w:rFonts w:hint="eastAsia"/>
              <w:lang w:val="en-US" w:eastAsia="zh-CN"/>
            </w:rPr>
            <w:t>2.5软件资质</w:t>
          </w:r>
          <w:r>
            <w:tab/>
          </w:r>
          <w:r>
            <w:fldChar w:fldCharType="begin"/>
          </w:r>
          <w:r>
            <w:instrText xml:space="preserve"> PAGEREF _Toc15460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_Toc27281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_Toc27281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_Toc18564 </w:instrText>
          </w:r>
          <w:r>
            <w:fldChar w:fldCharType="separate"/>
          </w:r>
          <w:r>
            <w:rPr>
              <w:rFonts w:hint="eastAsia"/>
              <w:lang w:val="en-US" w:eastAsia="zh-CN"/>
            </w:rPr>
            <w:t>2.7开发商委托销售授权函</w:t>
          </w:r>
          <w:r>
            <w:tab/>
          </w:r>
          <w:r>
            <w:fldChar w:fldCharType="begin"/>
          </w:r>
          <w:r>
            <w:instrText xml:space="preserve"> PAGEREF _Toc18564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_Toc15851 </w:instrText>
          </w:r>
          <w:r>
            <w:fldChar w:fldCharType="separate"/>
          </w:r>
          <w:r>
            <w:rPr>
              <w:rFonts w:hint="eastAsia"/>
              <w:lang w:val="en-US" w:eastAsia="zh-CN"/>
            </w:rPr>
            <w:t>2.8提供单一来源采购证明</w:t>
          </w:r>
          <w:r>
            <w:tab/>
          </w:r>
          <w:r>
            <w:fldChar w:fldCharType="begin"/>
          </w:r>
          <w:r>
            <w:instrText xml:space="preserve"> PAGEREF _Toc15851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_Toc5602 </w:instrText>
          </w:r>
          <w:r>
            <w:fldChar w:fldCharType="separate"/>
          </w:r>
          <w:r>
            <w:rPr>
              <w:rFonts w:hint="eastAsia"/>
              <w:lang w:val="en-US" w:eastAsia="zh-CN"/>
            </w:rPr>
            <w:t>三、项目调研情况一览汇总表</w:t>
          </w:r>
          <w:r>
            <w:tab/>
          </w:r>
          <w:r>
            <w:fldChar w:fldCharType="begin"/>
          </w:r>
          <w:r>
            <w:instrText xml:space="preserve"> PAGEREF _Toc5602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_Toc29605 </w:instrText>
          </w:r>
          <w:r>
            <w:fldChar w:fldCharType="separate"/>
          </w:r>
          <w:r>
            <w:rPr>
              <w:rFonts w:hint="eastAsia"/>
              <w:lang w:val="en-US" w:eastAsia="zh-CN"/>
            </w:rPr>
            <w:t>四、 调研项目配置清单及分项报价明细</w:t>
          </w:r>
          <w:r>
            <w:tab/>
          </w:r>
          <w:r>
            <w:fldChar w:fldCharType="begin"/>
          </w:r>
          <w:r>
            <w:instrText xml:space="preserve"> PAGEREF _Toc29605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_Toc16089 </w:instrText>
          </w:r>
          <w:r>
            <w:fldChar w:fldCharType="separate"/>
          </w:r>
          <w:r>
            <w:rPr>
              <w:rFonts w:hint="eastAsia"/>
              <w:lang w:val="en-US" w:eastAsia="zh-CN"/>
            </w:rPr>
            <w:t>五、三甲综合医院同类项目案例</w:t>
          </w:r>
          <w:r>
            <w:tab/>
          </w:r>
          <w:r>
            <w:fldChar w:fldCharType="begin"/>
          </w:r>
          <w:r>
            <w:instrText xml:space="preserve"> PAGEREF _Toc16089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_Toc12152 </w:instrText>
          </w:r>
          <w:r>
            <w:fldChar w:fldCharType="separate"/>
          </w:r>
          <w:r>
            <w:rPr>
              <w:rFonts w:hint="eastAsia"/>
              <w:lang w:val="en-US" w:eastAsia="zh-CN"/>
            </w:rPr>
            <w:t>5.1 四川省内（  ）家</w:t>
          </w:r>
          <w:r>
            <w:tab/>
          </w:r>
          <w:r>
            <w:fldChar w:fldCharType="begin"/>
          </w:r>
          <w:r>
            <w:instrText xml:space="preserve"> PAGEREF _Toc12152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_Toc10199 </w:instrText>
          </w:r>
          <w:r>
            <w:fldChar w:fldCharType="separate"/>
          </w:r>
          <w:r>
            <w:rPr>
              <w:rFonts w:hint="eastAsia"/>
              <w:lang w:val="en-US" w:eastAsia="zh-CN"/>
            </w:rPr>
            <w:t>5.1 四川省外（  ）家</w:t>
          </w:r>
          <w:r>
            <w:tab/>
          </w:r>
          <w:r>
            <w:fldChar w:fldCharType="begin"/>
          </w:r>
          <w:r>
            <w:instrText xml:space="preserve"> PAGEREF _Toc10199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_Toc23857 </w:instrText>
          </w:r>
          <w:r>
            <w:fldChar w:fldCharType="separate"/>
          </w:r>
          <w:r>
            <w:rPr>
              <w:rFonts w:hint="eastAsia"/>
              <w:lang w:val="en-US" w:eastAsia="zh-CN"/>
            </w:rPr>
            <w:t>5.3三甲综合医院同类项目案例合同及验收佐证</w:t>
          </w:r>
          <w:r>
            <w:tab/>
          </w:r>
          <w:r>
            <w:fldChar w:fldCharType="begin"/>
          </w:r>
          <w:r>
            <w:instrText xml:space="preserve"> PAGEREF _Toc23857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_Toc10797 </w:instrText>
          </w:r>
          <w:r>
            <w:fldChar w:fldCharType="separate"/>
          </w:r>
          <w:r>
            <w:rPr>
              <w:rFonts w:hint="eastAsia"/>
              <w:lang w:val="en-US" w:eastAsia="zh-CN"/>
            </w:rPr>
            <w:t>六、报价表包含内容</w:t>
          </w:r>
          <w:r>
            <w:tab/>
          </w:r>
          <w:r>
            <w:fldChar w:fldCharType="begin"/>
          </w:r>
          <w:r>
            <w:instrText xml:space="preserve"> PAGEREF _Toc10797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_Toc25292 </w:instrText>
          </w:r>
          <w:r>
            <w:fldChar w:fldCharType="separate"/>
          </w:r>
          <w:r>
            <w:rPr>
              <w:rFonts w:hint="eastAsia"/>
              <w:lang w:val="en-US" w:eastAsia="zh-CN"/>
            </w:rPr>
            <w:t>七、建设方案</w:t>
          </w:r>
          <w:r>
            <w:tab/>
          </w:r>
          <w:r>
            <w:fldChar w:fldCharType="begin"/>
          </w:r>
          <w:r>
            <w:instrText xml:space="preserve"> PAGEREF _Toc25292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_Toc26153 </w:instrText>
          </w:r>
          <w:r>
            <w:fldChar w:fldCharType="separate"/>
          </w:r>
          <w:r>
            <w:rPr>
              <w:rFonts w:hint="eastAsia"/>
              <w:lang w:val="en-US" w:eastAsia="zh-CN"/>
            </w:rPr>
            <w:t>7.1 实施条件（实施所需的支持条件）</w:t>
          </w:r>
          <w:r>
            <w:tab/>
          </w:r>
          <w:r>
            <w:fldChar w:fldCharType="begin"/>
          </w:r>
          <w:r>
            <w:instrText xml:space="preserve"> PAGEREF _Toc26153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_Toc28820 </w:instrText>
          </w:r>
          <w:r>
            <w:fldChar w:fldCharType="separate"/>
          </w:r>
          <w:r>
            <w:rPr>
              <w:rFonts w:hint="eastAsia"/>
              <w:lang w:val="en-US" w:eastAsia="zh-CN"/>
            </w:rPr>
            <w:t>7.1 实施周期</w:t>
          </w:r>
          <w:r>
            <w:tab/>
          </w:r>
          <w:r>
            <w:fldChar w:fldCharType="begin"/>
          </w:r>
          <w:r>
            <w:instrText xml:space="preserve"> PAGEREF _Toc28820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_Toc32567 </w:instrText>
          </w:r>
          <w:r>
            <w:fldChar w:fldCharType="separate"/>
          </w:r>
          <w:r>
            <w:rPr>
              <w:rFonts w:hint="eastAsia"/>
              <w:lang w:val="en-US" w:eastAsia="zh-CN"/>
            </w:rPr>
            <w:t>7.3 系统运行环境</w:t>
          </w:r>
          <w:r>
            <w:tab/>
          </w:r>
          <w:r>
            <w:fldChar w:fldCharType="begin"/>
          </w:r>
          <w:r>
            <w:instrText xml:space="preserve"> PAGEREF _Toc32567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_Toc18260 </w:instrText>
          </w:r>
          <w:r>
            <w:fldChar w:fldCharType="separate"/>
          </w:r>
          <w:r>
            <w:rPr>
              <w:rFonts w:hint="eastAsia"/>
              <w:lang w:val="en-US" w:eastAsia="zh-CN"/>
            </w:rPr>
            <w:t>7.4 系统总体架构</w:t>
          </w:r>
          <w:r>
            <w:tab/>
          </w:r>
          <w:r>
            <w:fldChar w:fldCharType="begin"/>
          </w:r>
          <w:r>
            <w:instrText xml:space="preserve"> PAGEREF _Toc18260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247527848"/>
      <w:bookmarkStart w:id="2" w:name="_Toc7415"/>
      <w:bookmarkStart w:id="3" w:name="_Toc152045808"/>
      <w:bookmarkStart w:id="4" w:name="_Toc144974876"/>
      <w:bookmarkStart w:id="5" w:name="_Toc152042597"/>
      <w:bookmarkStart w:id="6" w:name="_Toc10065"/>
      <w:bookmarkStart w:id="7" w:name="_Toc28799"/>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6639"/>
      <w:bookmarkStart w:id="10" w:name="_Toc2669"/>
      <w:r>
        <w:rPr>
          <w:rFonts w:hint="eastAsia"/>
          <w:lang w:val="en-US" w:eastAsia="zh-CN"/>
        </w:rPr>
        <w:t>二、资质：</w:t>
      </w:r>
      <w:bookmarkEnd w:id="9"/>
    </w:p>
    <w:p>
      <w:pPr>
        <w:pStyle w:val="4"/>
        <w:bidi w:val="0"/>
        <w:rPr>
          <w:rFonts w:hint="eastAsia"/>
        </w:rPr>
      </w:pPr>
      <w:bookmarkStart w:id="11" w:name="_Toc14707"/>
      <w:r>
        <w:rPr>
          <w:rFonts w:hint="eastAsia"/>
          <w:lang w:val="en-US" w:eastAsia="zh-CN"/>
        </w:rPr>
        <w:t>2.1</w:t>
      </w:r>
      <w:r>
        <w:rPr>
          <w:rFonts w:hint="eastAsia"/>
        </w:rPr>
        <w:t>营业执照</w:t>
      </w:r>
      <w:bookmarkEnd w:id="10"/>
      <w:bookmarkEnd w:id="11"/>
      <w:bookmarkStart w:id="12" w:name="_Toc3036"/>
    </w:p>
    <w:p>
      <w:pPr>
        <w:pStyle w:val="4"/>
        <w:bidi w:val="0"/>
        <w:rPr>
          <w:rFonts w:hint="eastAsia"/>
          <w:lang w:val="en-US" w:eastAsia="zh-CN"/>
        </w:rPr>
      </w:pPr>
      <w:bookmarkStart w:id="13" w:name="_Toc18335"/>
      <w:r>
        <w:rPr>
          <w:rFonts w:hint="eastAsia"/>
          <w:lang w:val="en-US" w:eastAsia="zh-CN"/>
        </w:rPr>
        <w:t>2.2</w:t>
      </w:r>
      <w:r>
        <w:rPr>
          <w:rFonts w:hint="eastAsia"/>
          <w:lang w:eastAsia="zh-CN"/>
        </w:rPr>
        <w:t>法定代表人授权书</w:t>
      </w:r>
      <w:bookmarkEnd w:id="12"/>
      <w:bookmarkEnd w:id="13"/>
    </w:p>
    <w:p>
      <w:pPr>
        <w:pStyle w:val="4"/>
        <w:bidi w:val="0"/>
        <w:rPr>
          <w:rFonts w:hint="eastAsia"/>
          <w:lang w:eastAsia="zh-CN"/>
        </w:rPr>
      </w:pPr>
      <w:bookmarkStart w:id="14" w:name="_Toc22111"/>
      <w:bookmarkStart w:id="15" w:name="_Toc5131"/>
      <w:r>
        <w:rPr>
          <w:rFonts w:hint="eastAsia"/>
          <w:lang w:val="en-US" w:eastAsia="zh-CN"/>
        </w:rPr>
        <w:t>2.3</w:t>
      </w:r>
      <w:r>
        <w:rPr>
          <w:rFonts w:hint="eastAsia"/>
          <w:lang w:eastAsia="zh-CN"/>
        </w:rPr>
        <w:t>法人及被授权人身份证</w:t>
      </w:r>
      <w:bookmarkEnd w:id="14"/>
      <w:bookmarkEnd w:id="15"/>
    </w:p>
    <w:p>
      <w:pPr>
        <w:pStyle w:val="4"/>
        <w:bidi w:val="0"/>
        <w:rPr>
          <w:rFonts w:hint="eastAsia"/>
          <w:lang w:eastAsia="zh-CN"/>
        </w:rPr>
      </w:pPr>
      <w:bookmarkStart w:id="16" w:name="_Toc22588"/>
      <w:bookmarkStart w:id="17" w:name="_Toc16386"/>
      <w:r>
        <w:rPr>
          <w:rFonts w:hint="eastAsia"/>
          <w:lang w:val="en-US" w:eastAsia="zh-CN"/>
        </w:rPr>
        <w:t>2.4</w:t>
      </w:r>
      <w:r>
        <w:rPr>
          <w:rFonts w:hint="eastAsia"/>
          <w:lang w:eastAsia="zh-CN"/>
        </w:rPr>
        <w:t>公司资质</w:t>
      </w:r>
      <w:bookmarkEnd w:id="16"/>
      <w:bookmarkEnd w:id="17"/>
    </w:p>
    <w:p>
      <w:pPr>
        <w:pStyle w:val="4"/>
        <w:bidi w:val="0"/>
        <w:rPr>
          <w:rFonts w:hint="default"/>
          <w:lang w:val="en-US" w:eastAsia="zh-CN"/>
        </w:rPr>
      </w:pPr>
      <w:bookmarkStart w:id="18" w:name="_Toc15460"/>
      <w:r>
        <w:rPr>
          <w:rFonts w:hint="eastAsia"/>
          <w:lang w:val="en-US" w:eastAsia="zh-CN"/>
        </w:rPr>
        <w:t>2.5软件资质</w:t>
      </w:r>
      <w:bookmarkEnd w:id="18"/>
    </w:p>
    <w:p>
      <w:pPr>
        <w:pStyle w:val="4"/>
        <w:bidi w:val="0"/>
        <w:rPr>
          <w:rFonts w:hint="eastAsia"/>
          <w:lang w:eastAsia="zh-CN"/>
        </w:rPr>
      </w:pPr>
      <w:bookmarkStart w:id="19" w:name="_Toc11995"/>
      <w:bookmarkStart w:id="20" w:name="_Toc27281"/>
      <w:r>
        <w:rPr>
          <w:rFonts w:hint="eastAsia"/>
          <w:lang w:val="en-US" w:eastAsia="zh-CN"/>
        </w:rPr>
        <w:t>2.6本项目涉及</w:t>
      </w:r>
      <w:r>
        <w:rPr>
          <w:rFonts w:hint="eastAsia"/>
          <w:lang w:eastAsia="zh-CN"/>
        </w:rPr>
        <w:t>资质</w:t>
      </w:r>
      <w:bookmarkEnd w:id="19"/>
      <w:bookmarkEnd w:id="20"/>
    </w:p>
    <w:p>
      <w:pPr>
        <w:pStyle w:val="4"/>
        <w:bidi w:val="0"/>
        <w:rPr>
          <w:rFonts w:hint="eastAsia"/>
          <w:b/>
          <w:lang w:val="en-US" w:eastAsia="zh-CN"/>
        </w:rPr>
      </w:pPr>
      <w:bookmarkStart w:id="21" w:name="_Toc21787"/>
      <w:bookmarkStart w:id="22" w:name="_Toc18564"/>
      <w:r>
        <w:rPr>
          <w:rFonts w:hint="eastAsia"/>
          <w:b/>
          <w:lang w:val="en-US" w:eastAsia="zh-CN"/>
        </w:rPr>
        <w:t>2.7开发商委托销售授权函</w:t>
      </w:r>
      <w:bookmarkEnd w:id="21"/>
      <w:bookmarkEnd w:id="22"/>
    </w:p>
    <w:p>
      <w:pPr>
        <w:pStyle w:val="4"/>
        <w:bidi w:val="0"/>
        <w:rPr>
          <w:rFonts w:hint="default"/>
          <w:b/>
          <w:lang w:val="en-US" w:eastAsia="zh-CN"/>
        </w:rPr>
      </w:pPr>
      <w:bookmarkStart w:id="23" w:name="_Toc15851"/>
      <w:r>
        <w:rPr>
          <w:rFonts w:hint="eastAsia"/>
          <w:b/>
          <w:lang w:val="en-US" w:eastAsia="zh-CN"/>
        </w:rPr>
        <w:t>2.8提供单一来源采购证明</w:t>
      </w:r>
      <w:bookmarkEnd w:id="23"/>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5602"/>
      <w:r>
        <w:rPr>
          <w:rFonts w:hint="eastAsia"/>
          <w:lang w:val="en-US" w:eastAsia="zh-CN"/>
        </w:rPr>
        <w:t>三、项目调研情况一览汇总表</w:t>
      </w:r>
      <w:bookmarkEnd w:id="24"/>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W w:w="44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272"/>
        <w:gridCol w:w="137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服务期</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jc w:val="center"/>
        </w:trPr>
        <w:tc>
          <w:tcPr>
            <w:tcW w:w="217"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1</w:t>
            </w:r>
          </w:p>
        </w:tc>
        <w:tc>
          <w:tcPr>
            <w:tcW w:w="68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20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21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p>
        </w:tc>
        <w:tc>
          <w:tcPr>
            <w:tcW w:w="68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0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9605"/>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6089"/>
      <w:r>
        <w:rPr>
          <w:rFonts w:hint="eastAsia"/>
          <w:lang w:val="en-US" w:eastAsia="zh-CN"/>
        </w:rPr>
        <w:t>五、三甲综合医院同类项目案例</w:t>
      </w:r>
      <w:bookmarkEnd w:id="26"/>
    </w:p>
    <w:p>
      <w:pPr>
        <w:pStyle w:val="4"/>
        <w:bidi w:val="0"/>
        <w:ind w:firstLine="482" w:firstLineChars="200"/>
        <w:rPr>
          <w:rFonts w:hint="eastAsia"/>
          <w:lang w:val="en-US" w:eastAsia="zh-CN"/>
        </w:rPr>
      </w:pPr>
      <w:bookmarkStart w:id="27" w:name="_Toc12152"/>
      <w:r>
        <w:rPr>
          <w:rFonts w:hint="eastAsia"/>
          <w:lang w:val="en-US" w:eastAsia="zh-CN"/>
        </w:rPr>
        <w:t>5.1 四川省内（  ）家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1"/>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28" w:name="_Toc10199"/>
      <w:r>
        <w:rPr>
          <w:rFonts w:hint="eastAsia"/>
          <w:lang w:val="en-US" w:eastAsia="zh-CN"/>
        </w:rPr>
        <w:t>5.1 四川省外（  ）家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29" w:name="_Toc138151651"/>
      <w:bookmarkStart w:id="30" w:name="_Toc23857"/>
      <w:r>
        <w:rPr>
          <w:rFonts w:hint="eastAsia"/>
          <w:lang w:val="en-US" w:eastAsia="zh-CN"/>
        </w:rPr>
        <w:t>5.3三甲综合医院同类项目案例合同及验收佐证</w:t>
      </w:r>
      <w:bookmarkEnd w:id="29"/>
      <w:bookmarkEnd w:id="30"/>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0797"/>
      <w:r>
        <w:rPr>
          <w:rFonts w:hint="eastAsia"/>
          <w:lang w:val="en-US" w:eastAsia="zh-CN"/>
        </w:rPr>
        <w:t>六、报价表</w:t>
      </w:r>
      <w:bookmarkEnd w:id="31"/>
      <w:r>
        <w:rPr>
          <w:rFonts w:hint="eastAsia"/>
          <w:lang w:val="en-US" w:eastAsia="zh-CN"/>
        </w:rPr>
        <w:t>包含内容</w:t>
      </w:r>
      <w:bookmarkEnd w:id="32"/>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5.待资阳市政务服务和大数据管理局完成政务信创云项目建设后，本系统将迁移至政务信创云，需对本项目进行服务及数据迁移，业务中断≤14小时。</w:t>
      </w:r>
    </w:p>
    <w:p>
      <w:pPr>
        <w:pStyle w:val="2"/>
        <w:spacing w:line="240" w:lineRule="auto"/>
        <w:rPr>
          <w:rFonts w:hint="eastAsia" w:ascii="仿宋" w:hAnsi="仿宋" w:eastAsia="仿宋" w:cs="仿宋"/>
          <w:b w:val="0"/>
          <w:color w:val="0000FF"/>
          <w:kern w:val="2"/>
          <w:sz w:val="24"/>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25292"/>
      <w:r>
        <w:rPr>
          <w:rFonts w:hint="eastAsia"/>
          <w:lang w:val="en-US" w:eastAsia="zh-CN"/>
        </w:rPr>
        <w:t>七、建设方案</w:t>
      </w:r>
      <w:bookmarkEnd w:id="33"/>
    </w:p>
    <w:p>
      <w:pPr>
        <w:bidi w:val="0"/>
        <w:rPr>
          <w:rFonts w:hint="eastAsia"/>
          <w:lang w:val="en-US" w:eastAsia="zh-CN"/>
        </w:rPr>
      </w:pPr>
      <w:bookmarkStart w:id="34"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5" w:name="_Toc26153"/>
      <w:r>
        <w:rPr>
          <w:rFonts w:hint="eastAsia"/>
          <w:lang w:val="en-US" w:eastAsia="zh-CN"/>
        </w:rPr>
        <w:t>7.1 实施条件（实施所需的支持条件）</w:t>
      </w:r>
      <w:bookmarkEnd w:id="34"/>
      <w:bookmarkEnd w:id="35"/>
    </w:p>
    <w:p>
      <w:pPr>
        <w:pStyle w:val="4"/>
        <w:bidi w:val="0"/>
        <w:ind w:firstLine="482" w:firstLineChars="200"/>
        <w:rPr>
          <w:rFonts w:hint="eastAsia"/>
          <w:lang w:val="en-US" w:eastAsia="zh-CN"/>
        </w:rPr>
      </w:pPr>
      <w:bookmarkStart w:id="36" w:name="_Toc28820"/>
      <w:bookmarkStart w:id="37" w:name="_Toc138151654"/>
      <w:r>
        <w:rPr>
          <w:rFonts w:hint="eastAsia"/>
          <w:lang w:val="en-US" w:eastAsia="zh-CN"/>
        </w:rPr>
        <w:t>7.1 实施周期</w:t>
      </w:r>
      <w:bookmarkEnd w:id="36"/>
      <w:bookmarkEnd w:id="37"/>
    </w:p>
    <w:p>
      <w:pPr>
        <w:pStyle w:val="4"/>
        <w:bidi w:val="0"/>
        <w:ind w:firstLine="482" w:firstLineChars="200"/>
        <w:rPr>
          <w:rFonts w:hint="eastAsia"/>
          <w:lang w:val="en-US" w:eastAsia="zh-CN"/>
        </w:rPr>
      </w:pPr>
      <w:bookmarkStart w:id="38" w:name="_Toc138151655"/>
      <w:bookmarkStart w:id="39" w:name="_Toc32567"/>
      <w:r>
        <w:rPr>
          <w:rFonts w:hint="eastAsia"/>
          <w:lang w:val="en-US" w:eastAsia="zh-CN"/>
        </w:rPr>
        <w:t>7.3 系统运行环境</w:t>
      </w:r>
      <w:bookmarkEnd w:id="38"/>
      <w:bookmarkEnd w:id="39"/>
    </w:p>
    <w:p>
      <w:pPr>
        <w:pStyle w:val="4"/>
        <w:bidi w:val="0"/>
        <w:ind w:firstLine="482" w:firstLineChars="200"/>
        <w:rPr>
          <w:rFonts w:hint="eastAsia"/>
          <w:lang w:val="en-US" w:eastAsia="zh-CN"/>
        </w:rPr>
      </w:pPr>
      <w:bookmarkStart w:id="40" w:name="_Toc138151656"/>
      <w:bookmarkStart w:id="41" w:name="_Toc18260"/>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518BA3-320A-400F-87CC-FE09C9E6F9C8}"/>
  </w:font>
  <w:font w:name="仿宋">
    <w:panose1 w:val="02010609060101010101"/>
    <w:charset w:val="86"/>
    <w:family w:val="auto"/>
    <w:pitch w:val="default"/>
    <w:sig w:usb0="800002BF" w:usb1="38CF7CFA" w:usb2="00000016" w:usb3="00000000" w:csb0="00040001" w:csb1="00000000"/>
    <w:embedRegular r:id="rId2" w:fontKey="{50CC4B1F-5DD5-4BFE-B4B6-044D48A7CDF4}"/>
  </w:font>
  <w:font w:name="方正小标宋简体">
    <w:panose1 w:val="03000509000000000000"/>
    <w:charset w:val="86"/>
    <w:family w:val="auto"/>
    <w:pitch w:val="default"/>
    <w:sig w:usb0="00000001" w:usb1="080E0000" w:usb2="00000000" w:usb3="00000000" w:csb0="00040000" w:csb1="00000000"/>
    <w:embedRegular r:id="rId3" w:fontKey="{6822D50E-639B-4837-9A47-AEE946F05788}"/>
  </w:font>
  <w:font w:name="方正黑体简体">
    <w:panose1 w:val="03000509000000000000"/>
    <w:charset w:val="86"/>
    <w:family w:val="auto"/>
    <w:pitch w:val="default"/>
    <w:sig w:usb0="00000001" w:usb1="080E0000" w:usb2="00000000" w:usb3="00000000" w:csb0="00040000" w:csb1="00000000"/>
    <w:embedRegular r:id="rId4" w:fontKey="{1B297609-2D13-4FDE-8241-4858F1072B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A66902F"/>
    <w:multiLevelType w:val="singleLevel"/>
    <w:tmpl w:val="2A66902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4D87301"/>
    <w:rsid w:val="052B1309"/>
    <w:rsid w:val="07C537D5"/>
    <w:rsid w:val="07CD2733"/>
    <w:rsid w:val="07E9598A"/>
    <w:rsid w:val="09EF4DDA"/>
    <w:rsid w:val="0A5A448A"/>
    <w:rsid w:val="0AAB2F8F"/>
    <w:rsid w:val="0AED6E12"/>
    <w:rsid w:val="0C811C7B"/>
    <w:rsid w:val="0CCA1EEB"/>
    <w:rsid w:val="0CDC4161"/>
    <w:rsid w:val="0D5422FE"/>
    <w:rsid w:val="0DD4413B"/>
    <w:rsid w:val="0E266744"/>
    <w:rsid w:val="0EA93CA3"/>
    <w:rsid w:val="0F0D7CC0"/>
    <w:rsid w:val="10AE73EC"/>
    <w:rsid w:val="1118101A"/>
    <w:rsid w:val="11DA6532"/>
    <w:rsid w:val="11E12C61"/>
    <w:rsid w:val="121A3D4C"/>
    <w:rsid w:val="134306AA"/>
    <w:rsid w:val="135A02D0"/>
    <w:rsid w:val="13712447"/>
    <w:rsid w:val="14E013D0"/>
    <w:rsid w:val="15CF1F26"/>
    <w:rsid w:val="16207B77"/>
    <w:rsid w:val="16B36D4D"/>
    <w:rsid w:val="18D92EBD"/>
    <w:rsid w:val="1AAF2DD5"/>
    <w:rsid w:val="1AE31E7C"/>
    <w:rsid w:val="1B46204F"/>
    <w:rsid w:val="1BBC5511"/>
    <w:rsid w:val="1DBE13B8"/>
    <w:rsid w:val="1E77318B"/>
    <w:rsid w:val="1ED65F1E"/>
    <w:rsid w:val="20390524"/>
    <w:rsid w:val="20E172DD"/>
    <w:rsid w:val="20E3342D"/>
    <w:rsid w:val="21D95CCB"/>
    <w:rsid w:val="22A273FF"/>
    <w:rsid w:val="23E3036F"/>
    <w:rsid w:val="25380CA0"/>
    <w:rsid w:val="257D0110"/>
    <w:rsid w:val="25C63BAB"/>
    <w:rsid w:val="25C67C05"/>
    <w:rsid w:val="263578BE"/>
    <w:rsid w:val="270C409F"/>
    <w:rsid w:val="2777374E"/>
    <w:rsid w:val="283860D8"/>
    <w:rsid w:val="28FB134B"/>
    <w:rsid w:val="29FF496C"/>
    <w:rsid w:val="2A1F28C7"/>
    <w:rsid w:val="2B8925CC"/>
    <w:rsid w:val="2C6F6170"/>
    <w:rsid w:val="2C9F6F43"/>
    <w:rsid w:val="2D626C81"/>
    <w:rsid w:val="2D755A60"/>
    <w:rsid w:val="2E8E10D4"/>
    <w:rsid w:val="30140F3F"/>
    <w:rsid w:val="305F1B4D"/>
    <w:rsid w:val="30C93B1B"/>
    <w:rsid w:val="32024D28"/>
    <w:rsid w:val="34B66051"/>
    <w:rsid w:val="36C21BE7"/>
    <w:rsid w:val="36C450EA"/>
    <w:rsid w:val="36EC2A2B"/>
    <w:rsid w:val="36FE0747"/>
    <w:rsid w:val="372B5D93"/>
    <w:rsid w:val="375B0AE1"/>
    <w:rsid w:val="386C41A1"/>
    <w:rsid w:val="38761053"/>
    <w:rsid w:val="38A804E3"/>
    <w:rsid w:val="39106763"/>
    <w:rsid w:val="3A985554"/>
    <w:rsid w:val="3AAB598F"/>
    <w:rsid w:val="3B9C785C"/>
    <w:rsid w:val="3CAF061D"/>
    <w:rsid w:val="3D8E5A8D"/>
    <w:rsid w:val="3E924036"/>
    <w:rsid w:val="3EBE4976"/>
    <w:rsid w:val="3EF73899"/>
    <w:rsid w:val="408753EB"/>
    <w:rsid w:val="428970E4"/>
    <w:rsid w:val="42BD668F"/>
    <w:rsid w:val="44BE1658"/>
    <w:rsid w:val="46C53FAB"/>
    <w:rsid w:val="47823284"/>
    <w:rsid w:val="47E67906"/>
    <w:rsid w:val="485E35F8"/>
    <w:rsid w:val="49550899"/>
    <w:rsid w:val="49BA2D04"/>
    <w:rsid w:val="49BB0786"/>
    <w:rsid w:val="4B643ABC"/>
    <w:rsid w:val="4B9F639D"/>
    <w:rsid w:val="4BC230D9"/>
    <w:rsid w:val="4F4F10AC"/>
    <w:rsid w:val="4F5F64BA"/>
    <w:rsid w:val="4FB545D4"/>
    <w:rsid w:val="502E58AD"/>
    <w:rsid w:val="5339476F"/>
    <w:rsid w:val="536B2A7D"/>
    <w:rsid w:val="53DE59A8"/>
    <w:rsid w:val="53E51F5E"/>
    <w:rsid w:val="541505F1"/>
    <w:rsid w:val="54400E09"/>
    <w:rsid w:val="55B6522E"/>
    <w:rsid w:val="5715646F"/>
    <w:rsid w:val="59410223"/>
    <w:rsid w:val="59723D50"/>
    <w:rsid w:val="5A864B12"/>
    <w:rsid w:val="5A920D49"/>
    <w:rsid w:val="5B273010"/>
    <w:rsid w:val="5B4B35D6"/>
    <w:rsid w:val="5BB10EFE"/>
    <w:rsid w:val="5BC879BA"/>
    <w:rsid w:val="5D762C66"/>
    <w:rsid w:val="5DEA79AF"/>
    <w:rsid w:val="5E2F3B42"/>
    <w:rsid w:val="5F4131D6"/>
    <w:rsid w:val="5F6F0822"/>
    <w:rsid w:val="5F744CAA"/>
    <w:rsid w:val="5F957CDE"/>
    <w:rsid w:val="5FDD7E71"/>
    <w:rsid w:val="62561308"/>
    <w:rsid w:val="62927E29"/>
    <w:rsid w:val="63590D8D"/>
    <w:rsid w:val="63FD189B"/>
    <w:rsid w:val="640D6CAC"/>
    <w:rsid w:val="64105038"/>
    <w:rsid w:val="644B199A"/>
    <w:rsid w:val="64D6157E"/>
    <w:rsid w:val="65B14764"/>
    <w:rsid w:val="67CB7B5D"/>
    <w:rsid w:val="687304EE"/>
    <w:rsid w:val="68783C73"/>
    <w:rsid w:val="693862AF"/>
    <w:rsid w:val="6A961A6F"/>
    <w:rsid w:val="6A987C6E"/>
    <w:rsid w:val="6D4B29EE"/>
    <w:rsid w:val="6D6D71FE"/>
    <w:rsid w:val="6E5C3CB4"/>
    <w:rsid w:val="6EC06CA8"/>
    <w:rsid w:val="6EED01BE"/>
    <w:rsid w:val="6FCD7A7D"/>
    <w:rsid w:val="709E1F5D"/>
    <w:rsid w:val="71B2000E"/>
    <w:rsid w:val="72307267"/>
    <w:rsid w:val="725577F4"/>
    <w:rsid w:val="73A103C3"/>
    <w:rsid w:val="740C7A72"/>
    <w:rsid w:val="74BE1DD0"/>
    <w:rsid w:val="75AA5052"/>
    <w:rsid w:val="75BE2C2C"/>
    <w:rsid w:val="765F4A43"/>
    <w:rsid w:val="76EB7264"/>
    <w:rsid w:val="77942ADE"/>
    <w:rsid w:val="77F5610B"/>
    <w:rsid w:val="79175759"/>
    <w:rsid w:val="7CEF5984"/>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20</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2024-08-08T02:15:47Z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2A90C52F550540B787FF8A38D8F39130</vt:lpwstr>
  </property>
</Properties>
</file>