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sz w:val="28"/>
          <w:szCs w:val="36"/>
        </w:rPr>
        <w:id w:val="147450881"/>
        <w15:color w:val="DBDBDB"/>
        <w:docPartObj>
          <w:docPartGallery w:val="Table of Contents"/>
          <w:docPartUnique/>
        </w:docPartObj>
      </w:sdtPr>
      <w:sdtEndPr>
        <w:rPr>
          <w:rFonts w:asciiTheme="minorHAnsi" w:hAnsiTheme="minorHAnsi" w:eastAsiaTheme="minorEastAsia"/>
          <w:sz w:val="21"/>
          <w:szCs w:val="24"/>
        </w:rPr>
      </w:sdtEndPr>
      <w:sdtContent>
        <w:p>
          <w:pPr>
            <w:jc w:val="center"/>
            <w:rPr>
              <w:rFonts w:hint="eastAsia" w:asciiTheme="minorEastAsia" w:hAnsiTheme="minorEastAsia" w:cstheme="minorEastAsia"/>
              <w:b/>
              <w:bCs/>
              <w:sz w:val="40"/>
              <w:szCs w:val="40"/>
            </w:rPr>
          </w:pPr>
          <w:r>
            <w:rPr>
              <w:rFonts w:hint="eastAsia" w:asciiTheme="minorEastAsia" w:hAnsiTheme="minorEastAsia" w:cstheme="minorEastAsia"/>
              <w:b/>
              <w:bCs/>
              <w:sz w:val="40"/>
              <w:szCs w:val="40"/>
            </w:rPr>
            <w:t>调研报名目录</w:t>
          </w:r>
        </w:p>
        <w:p>
          <w:pPr>
            <w:jc w:val="center"/>
          </w:pPr>
        </w:p>
        <w:p>
          <w:pPr>
            <w:pStyle w:val="5"/>
            <w:tabs>
              <w:tab w:val="right" w:leader="dot" w:pos="8306"/>
            </w:tabs>
          </w:pPr>
          <w:r>
            <w:fldChar w:fldCharType="begin"/>
          </w:r>
          <w:r>
            <w:instrText xml:space="preserve">TOC \o "1-3" \h \u </w:instrText>
          </w:r>
          <w:r>
            <w:fldChar w:fldCharType="separate"/>
          </w:r>
          <w:r>
            <w:fldChar w:fldCharType="begin"/>
          </w:r>
          <w:r>
            <w:instrText xml:space="preserve"> HYPERLINK \l "_Toc31680" </w:instrText>
          </w:r>
          <w:r>
            <w:fldChar w:fldCharType="separate"/>
          </w:r>
          <w:r>
            <w:rPr>
              <w:rFonts w:hint="eastAsia"/>
            </w:rPr>
            <w:t>一、 报名登记表</w:t>
          </w:r>
          <w:r>
            <w:tab/>
          </w:r>
          <w:r>
            <w:fldChar w:fldCharType="begin"/>
          </w:r>
          <w:r>
            <w:instrText xml:space="preserve"> PAGEREF _Toc31680 \h </w:instrText>
          </w:r>
          <w:r>
            <w:fldChar w:fldCharType="separate"/>
          </w:r>
          <w:r>
            <w:t>6</w:t>
          </w:r>
          <w:r>
            <w:fldChar w:fldCharType="end"/>
          </w:r>
          <w:r>
            <w:fldChar w:fldCharType="end"/>
          </w:r>
        </w:p>
        <w:p>
          <w:pPr>
            <w:pStyle w:val="5"/>
            <w:tabs>
              <w:tab w:val="right" w:leader="dot" w:pos="8306"/>
            </w:tabs>
          </w:pPr>
          <w:r>
            <w:fldChar w:fldCharType="begin"/>
          </w:r>
          <w:r>
            <w:instrText xml:space="preserve"> HYPERLINK \l "_Toc21711" </w:instrText>
          </w:r>
          <w:r>
            <w:fldChar w:fldCharType="separate"/>
          </w:r>
          <w:r>
            <w:rPr>
              <w:rFonts w:hint="eastAsia"/>
            </w:rPr>
            <w:t>二、资质：</w:t>
          </w:r>
          <w:r>
            <w:tab/>
          </w:r>
          <w:r>
            <w:fldChar w:fldCharType="begin"/>
          </w:r>
          <w:r>
            <w:instrText xml:space="preserve"> PAGEREF _Toc21711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"_Toc29454" </w:instrText>
          </w:r>
          <w:r>
            <w:fldChar w:fldCharType="separate"/>
          </w:r>
          <w:r>
            <w:rPr>
              <w:rFonts w:hint="eastAsia"/>
            </w:rPr>
            <w:t>2.1营业执照</w:t>
          </w:r>
          <w:r>
            <w:tab/>
          </w:r>
          <w:r>
            <w:fldChar w:fldCharType="begin"/>
          </w:r>
          <w:r>
            <w:instrText xml:space="preserve"> PAGEREF _Toc29454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"_Toc23485" </w:instrText>
          </w:r>
          <w:r>
            <w:fldChar w:fldCharType="separate"/>
          </w:r>
          <w:r>
            <w:rPr>
              <w:rFonts w:hint="eastAsia"/>
            </w:rPr>
            <w:t>2.2法定代表人授权书</w:t>
          </w:r>
          <w:r>
            <w:tab/>
          </w:r>
          <w:r>
            <w:fldChar w:fldCharType="begin"/>
          </w:r>
          <w:r>
            <w:instrText xml:space="preserve"> PAGEREF _Toc23485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"_Toc22620" </w:instrText>
          </w:r>
          <w:r>
            <w:fldChar w:fldCharType="separate"/>
          </w:r>
          <w:r>
            <w:rPr>
              <w:rFonts w:hint="eastAsia"/>
            </w:rPr>
            <w:t>2.3法人及被授权人身份证</w:t>
          </w:r>
          <w:r>
            <w:tab/>
          </w:r>
          <w:r>
            <w:fldChar w:fldCharType="begin"/>
          </w:r>
          <w:r>
            <w:instrText xml:space="preserve"> PAGEREF _Toc22620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"_Toc31657" </w:instrText>
          </w:r>
          <w:r>
            <w:fldChar w:fldCharType="separate"/>
          </w:r>
          <w:r>
            <w:rPr>
              <w:rFonts w:hint="eastAsia"/>
            </w:rPr>
            <w:t>2.4公司资质</w:t>
          </w:r>
          <w:r>
            <w:tab/>
          </w:r>
          <w:r>
            <w:fldChar w:fldCharType="begin"/>
          </w:r>
          <w:r>
            <w:instrText xml:space="preserve"> PAGEREF _Toc31657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"_Toc20155" </w:instrText>
          </w:r>
          <w:r>
            <w:fldChar w:fldCharType="separate"/>
          </w:r>
          <w:r>
            <w:rPr>
              <w:rFonts w:hint="eastAsia"/>
            </w:rPr>
            <w:t>2.5软件资质</w:t>
          </w:r>
          <w:r>
            <w:tab/>
          </w:r>
          <w:r>
            <w:fldChar w:fldCharType="begin"/>
          </w:r>
          <w:r>
            <w:instrText xml:space="preserve"> PAGEREF _Toc20155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"_Toc17735" </w:instrText>
          </w:r>
          <w:r>
            <w:fldChar w:fldCharType="separate"/>
          </w:r>
          <w:r>
            <w:rPr>
              <w:rFonts w:hint="eastAsia"/>
            </w:rPr>
            <w:t>2.6本项目涉及资质</w:t>
          </w:r>
          <w:r>
            <w:tab/>
          </w:r>
          <w:r>
            <w:fldChar w:fldCharType="begin"/>
          </w:r>
          <w:r>
            <w:instrText xml:space="preserve"> PAGEREF _Toc17735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"_Toc24141" </w:instrText>
          </w:r>
          <w:r>
            <w:fldChar w:fldCharType="separate"/>
          </w:r>
          <w:r>
            <w:rPr>
              <w:rFonts w:hint="eastAsia"/>
            </w:rPr>
            <w:t>2.7开发商委托销售授权函</w:t>
          </w:r>
          <w:r>
            <w:tab/>
          </w:r>
          <w:r>
            <w:fldChar w:fldCharType="begin"/>
          </w:r>
          <w:r>
            <w:instrText xml:space="preserve"> PAGEREF _Toc24141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"_Toc31086" </w:instrText>
          </w:r>
          <w:r>
            <w:fldChar w:fldCharType="separate"/>
          </w:r>
          <w:r>
            <w:rPr>
              <w:rFonts w:hint="eastAsia"/>
            </w:rPr>
            <w:t>2.8提供单一来源采购证明</w:t>
          </w:r>
          <w:r>
            <w:tab/>
          </w:r>
          <w:r>
            <w:fldChar w:fldCharType="begin"/>
          </w:r>
          <w:r>
            <w:instrText xml:space="preserve"> PAGEREF _Toc31086 \h </w:instrText>
          </w:r>
          <w:r>
            <w:fldChar w:fldCharType="separate"/>
          </w:r>
          <w:r>
            <w:t>6</w:t>
          </w:r>
          <w:r>
            <w:fldChar w:fldCharType="end"/>
          </w:r>
          <w:r>
            <w:fldChar w:fldCharType="end"/>
          </w:r>
        </w:p>
        <w:p>
          <w:pPr>
            <w:pStyle w:val="5"/>
            <w:tabs>
              <w:tab w:val="right" w:leader="dot" w:pos="8306"/>
            </w:tabs>
          </w:pPr>
          <w:r>
            <w:fldChar w:fldCharType="begin"/>
          </w:r>
          <w:r>
            <w:instrText xml:space="preserve"> HYPERLINK \l "_Toc8415" </w:instrText>
          </w:r>
          <w:r>
            <w:fldChar w:fldCharType="separate"/>
          </w:r>
          <w:r>
            <w:rPr>
              <w:rFonts w:hint="eastAsia"/>
            </w:rPr>
            <w:t>三、项目调研情况一览汇总表</w:t>
          </w:r>
          <w:r>
            <w:tab/>
          </w:r>
          <w:r>
            <w:fldChar w:fldCharType="begin"/>
          </w:r>
          <w:r>
            <w:instrText xml:space="preserve"> PAGEREF _Toc8415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"_Toc32193" </w:instrText>
          </w:r>
          <w:r>
            <w:fldChar w:fldCharType="separate"/>
          </w:r>
          <w:r>
            <w:rPr>
              <w:rFonts w:hint="eastAsia"/>
            </w:rPr>
            <w:t>四、 调研项目配置清单及分项报价明细</w:t>
          </w:r>
          <w:r>
            <w:tab/>
          </w:r>
          <w:r>
            <w:fldChar w:fldCharType="begin"/>
          </w:r>
          <w:r>
            <w:instrText xml:space="preserve"> PAGEREF _Toc32193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"_Toc29804" </w:instrText>
          </w:r>
          <w:r>
            <w:fldChar w:fldCharType="separate"/>
          </w:r>
          <w:r>
            <w:rPr>
              <w:rFonts w:hint="eastAsia"/>
            </w:rPr>
            <w:t>五、三甲综合医院同类项目案例</w:t>
          </w:r>
          <w:r>
            <w:tab/>
          </w:r>
          <w:r>
            <w:fldChar w:fldCharType="begin"/>
          </w:r>
          <w:r>
            <w:instrText xml:space="preserve"> PAGEREF _Toc29804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"_Toc5033" </w:instrText>
          </w:r>
          <w:r>
            <w:fldChar w:fldCharType="separate"/>
          </w:r>
          <w:r>
            <w:rPr>
              <w:rFonts w:hint="eastAsia"/>
            </w:rPr>
            <w:t>5.1 四川省内（  ）家</w:t>
          </w:r>
          <w:r>
            <w:tab/>
          </w:r>
          <w:r>
            <w:fldChar w:fldCharType="begin"/>
          </w:r>
          <w:r>
            <w:instrText xml:space="preserve"> PAGEREF _Toc5033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"_Toc27307" </w:instrText>
          </w:r>
          <w:r>
            <w:fldChar w:fldCharType="separate"/>
          </w:r>
          <w:r>
            <w:rPr>
              <w:rFonts w:hint="eastAsia"/>
            </w:rPr>
            <w:t>5.1 四川省外（  ）家</w:t>
          </w:r>
          <w:r>
            <w:tab/>
          </w:r>
          <w:r>
            <w:fldChar w:fldCharType="begin"/>
          </w:r>
          <w:r>
            <w:instrText xml:space="preserve"> PAGEREF _Toc27307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"_Toc19497" </w:instrText>
          </w:r>
          <w:r>
            <w:fldChar w:fldCharType="separate"/>
          </w:r>
          <w:r>
            <w:rPr>
              <w:rFonts w:hint="eastAsia"/>
            </w:rPr>
            <w:t>5.3三甲综合医院同类项目案例合同及验收佐证</w:t>
          </w:r>
          <w:r>
            <w:tab/>
          </w:r>
          <w:r>
            <w:fldChar w:fldCharType="begin"/>
          </w:r>
          <w:r>
            <w:instrText xml:space="preserve"> PAGEREF _Toc19497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"_Toc9748" </w:instrText>
          </w:r>
          <w:r>
            <w:fldChar w:fldCharType="separate"/>
          </w:r>
          <w:r>
            <w:rPr>
              <w:rFonts w:hint="eastAsia"/>
            </w:rPr>
            <w:t>六、报价表包含内容</w:t>
          </w:r>
          <w:r>
            <w:tab/>
          </w:r>
          <w:r>
            <w:fldChar w:fldCharType="begin"/>
          </w:r>
          <w:r>
            <w:instrText xml:space="preserve"> PAGEREF _Toc9748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"_Toc18260" </w:instrText>
          </w:r>
          <w:r>
            <w:fldChar w:fldCharType="separate"/>
          </w:r>
          <w:r>
            <w:rPr>
              <w:rFonts w:hint="eastAsia"/>
            </w:rPr>
            <w:t>七、建设方案</w:t>
          </w:r>
          <w:r>
            <w:tab/>
          </w:r>
          <w:r>
            <w:fldChar w:fldCharType="begin"/>
          </w:r>
          <w:r>
            <w:instrText xml:space="preserve"> PAGEREF _Toc18260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"_Toc6143" </w:instrText>
          </w:r>
          <w:r>
            <w:fldChar w:fldCharType="separate"/>
          </w:r>
          <w:r>
            <w:rPr>
              <w:rFonts w:hint="eastAsia"/>
            </w:rPr>
            <w:t>7.1 实施条件（实施所需的支持条件）</w:t>
          </w:r>
          <w:r>
            <w:tab/>
          </w:r>
          <w:r>
            <w:fldChar w:fldCharType="begin"/>
          </w:r>
          <w:r>
            <w:instrText xml:space="preserve"> PAGEREF _Toc6143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"_Toc1131" </w:instrText>
          </w:r>
          <w:r>
            <w:fldChar w:fldCharType="separate"/>
          </w:r>
          <w:r>
            <w:rPr>
              <w:rFonts w:hint="eastAsia"/>
            </w:rPr>
            <w:t>7.1 实施周期</w:t>
          </w:r>
          <w:r>
            <w:tab/>
          </w:r>
          <w:r>
            <w:fldChar w:fldCharType="begin"/>
          </w:r>
          <w:r>
            <w:instrText xml:space="preserve"> PAGEREF _Toc1131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"_Toc28875" </w:instrText>
          </w:r>
          <w:r>
            <w:fldChar w:fldCharType="separate"/>
          </w:r>
          <w:r>
            <w:rPr>
              <w:rFonts w:hint="eastAsia"/>
            </w:rPr>
            <w:t>7.3 系统运行环境</w:t>
          </w:r>
          <w:r>
            <w:tab/>
          </w:r>
          <w:r>
            <w:fldChar w:fldCharType="begin"/>
          </w:r>
          <w:r>
            <w:instrText xml:space="preserve"> PAGEREF _Toc28875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"_Toc28653" </w:instrText>
          </w:r>
          <w:r>
            <w:fldChar w:fldCharType="separate"/>
          </w:r>
          <w:r>
            <w:rPr>
              <w:rFonts w:hint="eastAsia"/>
            </w:rPr>
            <w:t>7.4 系统总体架构</w:t>
          </w:r>
          <w:r>
            <w:tab/>
          </w:r>
          <w:r>
            <w:fldChar w:fldCharType="begin"/>
          </w:r>
          <w:r>
            <w:instrText xml:space="preserve"> PAGEREF _Toc28653 \h </w:instrText>
          </w:r>
          <w:r>
            <w:fldChar w:fldCharType="separate"/>
          </w:r>
          <w:r>
            <w:t>9</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2"/>
        <w:numPr>
          <w:ilvl w:val="0"/>
          <w:numId w:val="1"/>
        </w:numPr>
        <w:spacing w:before="100" w:after="100"/>
        <w:jc w:val="both"/>
      </w:pPr>
      <w:bookmarkStart w:id="0" w:name="_Toc152045808"/>
      <w:bookmarkStart w:id="1" w:name="_Toc10065"/>
      <w:bookmarkStart w:id="2" w:name="_Toc247527848"/>
      <w:bookmarkStart w:id="3" w:name="_Toc31680"/>
      <w:bookmarkStart w:id="4" w:name="_Toc427002393"/>
      <w:bookmarkStart w:id="5" w:name="_Toc7415"/>
      <w:bookmarkStart w:id="6" w:name="_Toc247514300"/>
      <w:bookmarkStart w:id="7" w:name="_Toc144974876"/>
      <w:bookmarkStart w:id="8" w:name="_Toc152042597"/>
      <w:r>
        <w:rPr>
          <w:rFonts w:hint="eastAsia"/>
        </w:rPr>
        <w:t>报名登记表</w:t>
      </w:r>
      <w:bookmarkEnd w:id="0"/>
      <w:bookmarkEnd w:id="1"/>
      <w:bookmarkEnd w:id="2"/>
      <w:bookmarkEnd w:id="3"/>
      <w:bookmarkEnd w:id="4"/>
      <w:bookmarkEnd w:id="5"/>
      <w:bookmarkEnd w:id="6"/>
      <w:bookmarkEnd w:id="7"/>
      <w:bookmarkEnd w:id="8"/>
    </w:p>
    <w:tbl>
      <w:tblPr>
        <w:tblStyle w:val="7"/>
        <w:tblW w:w="5461" w:type="pct"/>
        <w:jc w:val="center"/>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联系邮箱</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pPr>
            <w:r>
              <w:rPr>
                <w:rFonts w:hint="eastAsia" w:ascii="宋体" w:hAnsi="宋体" w:eastAsia="宋体" w:cs="宋体"/>
                <w:color w:val="000000"/>
                <w:kern w:val="0"/>
                <w:sz w:val="24"/>
                <w:lang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pPr>
            <w:r>
              <w:rPr>
                <w:rFonts w:hint="eastAsia" w:ascii="宋体" w:hAnsi="宋体" w:eastAsia="宋体" w:cs="宋体"/>
                <w:color w:val="000000"/>
                <w:kern w:val="0"/>
                <w:sz w:val="24"/>
                <w:lang w:bidi="ar"/>
              </w:rPr>
              <w:t>备注</w:t>
            </w:r>
          </w:p>
        </w:tc>
      </w:tr>
      <w:tr>
        <w:tblPrEx>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000000"/>
                <w:sz w:val="24"/>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000000"/>
                <w:sz w:val="24"/>
              </w:rPr>
            </w:pPr>
          </w:p>
        </w:tc>
      </w:tr>
    </w:tbl>
    <w:p/>
    <w:p>
      <w:pPr>
        <w:pStyle w:val="2"/>
        <w:spacing w:before="100" w:after="100"/>
        <w:jc w:val="both"/>
      </w:pPr>
      <w:bookmarkStart w:id="9" w:name="_Toc21711"/>
      <w:bookmarkStart w:id="10" w:name="_Toc2669"/>
      <w:r>
        <w:rPr>
          <w:rFonts w:hint="eastAsia"/>
        </w:rPr>
        <w:t>二、资质：</w:t>
      </w:r>
      <w:bookmarkEnd w:id="9"/>
    </w:p>
    <w:p>
      <w:pPr>
        <w:pStyle w:val="3"/>
      </w:pPr>
      <w:bookmarkStart w:id="11" w:name="_Toc29454"/>
      <w:r>
        <w:rPr>
          <w:rFonts w:hint="eastAsia"/>
        </w:rPr>
        <w:t>2.1营业执照</w:t>
      </w:r>
      <w:bookmarkEnd w:id="10"/>
      <w:bookmarkEnd w:id="11"/>
      <w:bookmarkStart w:id="12" w:name="_Toc3036"/>
    </w:p>
    <w:p>
      <w:pPr>
        <w:pStyle w:val="3"/>
      </w:pPr>
      <w:bookmarkStart w:id="13" w:name="_Toc23485"/>
      <w:r>
        <w:rPr>
          <w:rFonts w:hint="eastAsia"/>
        </w:rPr>
        <w:t>2.2法定代表人授权书</w:t>
      </w:r>
      <w:bookmarkEnd w:id="12"/>
      <w:bookmarkEnd w:id="13"/>
    </w:p>
    <w:p>
      <w:pPr>
        <w:pStyle w:val="3"/>
      </w:pPr>
      <w:bookmarkStart w:id="14" w:name="_Toc5131"/>
      <w:bookmarkStart w:id="15" w:name="_Toc22620"/>
      <w:r>
        <w:rPr>
          <w:rFonts w:hint="eastAsia"/>
        </w:rPr>
        <w:t>2.3法人及被授权人身份证</w:t>
      </w:r>
      <w:bookmarkEnd w:id="14"/>
      <w:bookmarkEnd w:id="15"/>
    </w:p>
    <w:p>
      <w:pPr>
        <w:pStyle w:val="3"/>
      </w:pPr>
      <w:bookmarkStart w:id="16" w:name="_Toc31657"/>
      <w:bookmarkStart w:id="17" w:name="_Toc22588"/>
      <w:r>
        <w:rPr>
          <w:rFonts w:hint="eastAsia"/>
        </w:rPr>
        <w:t>2.4公司资质</w:t>
      </w:r>
      <w:bookmarkEnd w:id="16"/>
      <w:bookmarkEnd w:id="17"/>
    </w:p>
    <w:p>
      <w:pPr>
        <w:pStyle w:val="3"/>
      </w:pPr>
      <w:bookmarkStart w:id="18" w:name="_Toc20155"/>
      <w:r>
        <w:rPr>
          <w:rFonts w:hint="eastAsia"/>
        </w:rPr>
        <w:t>2.5软件资质</w:t>
      </w:r>
      <w:bookmarkEnd w:id="18"/>
    </w:p>
    <w:p>
      <w:pPr>
        <w:pStyle w:val="3"/>
      </w:pPr>
      <w:bookmarkStart w:id="19" w:name="_Toc17735"/>
      <w:bookmarkStart w:id="20" w:name="_Toc11995"/>
      <w:r>
        <w:rPr>
          <w:rFonts w:hint="eastAsia"/>
        </w:rPr>
        <w:t>2.6本项目涉及资质</w:t>
      </w:r>
      <w:bookmarkEnd w:id="19"/>
      <w:bookmarkEnd w:id="20"/>
    </w:p>
    <w:p>
      <w:pPr>
        <w:pStyle w:val="3"/>
      </w:pPr>
      <w:bookmarkStart w:id="21" w:name="_Toc21787"/>
      <w:bookmarkStart w:id="22" w:name="_Toc24141"/>
      <w:r>
        <w:rPr>
          <w:rFonts w:hint="eastAsia"/>
        </w:rPr>
        <w:t>2.7开发商委托销售授权函</w:t>
      </w:r>
      <w:bookmarkEnd w:id="21"/>
      <w:bookmarkEnd w:id="22"/>
    </w:p>
    <w:p>
      <w:pPr>
        <w:pStyle w:val="3"/>
      </w:pPr>
      <w:bookmarkStart w:id="23" w:name="_Toc31086"/>
      <w:r>
        <w:rPr>
          <w:rFonts w:hint="eastAsia"/>
        </w:rPr>
        <w:t>2.8提供单一来源采购证明</w:t>
      </w:r>
      <w:bookmarkEnd w:id="23"/>
    </w:p>
    <w:p>
      <w:pPr>
        <w:pStyle w:val="9"/>
        <w:rPr>
          <w:rFonts w:hint="eastAsia" w:hAnsi="宋体"/>
        </w:rPr>
      </w:pPr>
    </w:p>
    <w:p>
      <w:pPr>
        <w:pStyle w:val="9"/>
        <w:rPr>
          <w:rFonts w:hint="eastAsia" w:hAnsi="宋体"/>
        </w:rPr>
      </w:pPr>
    </w:p>
    <w:p>
      <w:pPr>
        <w:pStyle w:val="9"/>
        <w:rPr>
          <w:rFonts w:hint="eastAsia" w:hAnsi="宋体"/>
        </w:rPr>
      </w:pPr>
    </w:p>
    <w:p>
      <w:pPr>
        <w:pStyle w:val="9"/>
        <w:rPr>
          <w:rFonts w:hint="eastAsia" w:hAnsi="宋体"/>
        </w:rPr>
      </w:pPr>
    </w:p>
    <w:p>
      <w:pPr>
        <w:pStyle w:val="9"/>
        <w:rPr>
          <w:rFonts w:hint="eastAsia" w:hAnsi="宋体"/>
        </w:rPr>
      </w:pPr>
    </w:p>
    <w:p>
      <w:pPr>
        <w:pStyle w:val="9"/>
        <w:rPr>
          <w:rFonts w:hint="eastAsia" w:hAnsi="宋体"/>
        </w:rPr>
      </w:pPr>
    </w:p>
    <w:p>
      <w:pPr>
        <w:sectPr>
          <w:pgSz w:w="11906" w:h="16838"/>
          <w:pgMar w:top="1440" w:right="1800" w:bottom="1440" w:left="1800" w:header="851" w:footer="992" w:gutter="0"/>
          <w:cols w:space="425" w:num="1"/>
          <w:docGrid w:type="lines" w:linePitch="312" w:charSpace="0"/>
        </w:sectPr>
      </w:pPr>
    </w:p>
    <w:p>
      <w:pPr>
        <w:pStyle w:val="2"/>
        <w:spacing w:before="100" w:after="100"/>
        <w:jc w:val="both"/>
      </w:pPr>
      <w:bookmarkStart w:id="24" w:name="_Toc8415"/>
      <w:r>
        <w:rPr>
          <w:rFonts w:hint="eastAsia"/>
        </w:rPr>
        <w:t>三、项目调研情况一览汇总表</w:t>
      </w:r>
      <w:bookmarkEnd w:id="24"/>
    </w:p>
    <w:p>
      <w:pPr>
        <w:pStyle w:val="4"/>
        <w:ind w:firstLine="720" w:firstLineChars="300"/>
        <w:rPr>
          <w:rFonts w:hint="eastAsia" w:ascii="仿宋" w:hAnsi="仿宋" w:cs="仿宋"/>
          <w:color w:val="000000"/>
          <w:kern w:val="0"/>
          <w:lang w:val="en-US" w:bidi="ar"/>
        </w:rPr>
      </w:pPr>
      <w:r>
        <w:rPr>
          <w:rFonts w:hint="eastAsia" w:ascii="仿宋" w:hAnsi="仿宋" w:cs="仿宋"/>
          <w:color w:val="000000"/>
          <w:kern w:val="0"/>
          <w:lang w:val="en-US" w:bidi="ar"/>
        </w:rPr>
        <w:t>项目名称：                              采购品目分类名称：</w:t>
      </w:r>
    </w:p>
    <w:p>
      <w:pPr>
        <w:pStyle w:val="4"/>
        <w:ind w:firstLine="720" w:firstLineChars="300"/>
        <w:rPr>
          <w:rFonts w:hint="eastAsia" w:ascii="仿宋" w:hAnsi="仿宋" w:cs="仿宋"/>
          <w:color w:val="000000"/>
          <w:kern w:val="0"/>
          <w:lang w:val="en-US" w:bidi="ar"/>
        </w:rPr>
      </w:pPr>
      <w:r>
        <w:rPr>
          <w:rFonts w:hint="eastAsia" w:ascii="仿宋" w:hAnsi="仿宋" w:cs="仿宋"/>
          <w:color w:val="000000"/>
          <w:kern w:val="0"/>
          <w:lang w:val="en-US" w:bidi="ar"/>
        </w:rPr>
        <w:t>供应商名称：                            联系人及联系电话：</w:t>
      </w:r>
    </w:p>
    <w:tbl>
      <w:tblPr>
        <w:tblStyle w:val="7"/>
        <w:tblW w:w="4464" w:type="pct"/>
        <w:jc w:val="center"/>
        <w:tblLayout w:type="fixed"/>
        <w:tblCellMar>
          <w:top w:w="0" w:type="dxa"/>
          <w:left w:w="108" w:type="dxa"/>
          <w:bottom w:w="0" w:type="dxa"/>
          <w:right w:w="108" w:type="dxa"/>
        </w:tblCellMar>
      </w:tblPr>
      <w:tblGrid>
        <w:gridCol w:w="566"/>
        <w:gridCol w:w="1780"/>
        <w:gridCol w:w="2076"/>
        <w:gridCol w:w="1271"/>
        <w:gridCol w:w="1371"/>
        <w:gridCol w:w="1429"/>
        <w:gridCol w:w="3145"/>
        <w:gridCol w:w="1563"/>
      </w:tblGrid>
      <w:tr>
        <w:tblPrEx>
          <w:tblCellMar>
            <w:top w:w="0" w:type="dxa"/>
            <w:left w:w="108" w:type="dxa"/>
            <w:bottom w:w="0" w:type="dxa"/>
            <w:right w:w="108" w:type="dxa"/>
          </w:tblCellMar>
        </w:tblPrEx>
        <w:trPr>
          <w:trHeight w:val="1399"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4"/>
              </w:rPr>
            </w:pPr>
            <w:r>
              <w:rPr>
                <w:rFonts w:hint="eastAsia" w:ascii="仿宋" w:hAnsi="仿宋" w:eastAsia="仿宋" w:cs="仿宋"/>
                <w:sz w:val="20"/>
                <w:szCs w:val="20"/>
              </w:rPr>
              <w:t>序号</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供应商名称</w:t>
            </w:r>
          </w:p>
          <w:p>
            <w:pPr>
              <w:pStyle w:val="9"/>
              <w:spacing w:line="240" w:lineRule="exact"/>
              <w:jc w:val="center"/>
              <w:rPr>
                <w:rFonts w:hint="eastAsia" w:ascii="仿宋" w:hAnsi="仿宋" w:eastAsia="仿宋" w:cs="仿宋"/>
                <w:kern w:val="2"/>
              </w:rPr>
            </w:pPr>
            <w:r>
              <w:rPr>
                <w:rFonts w:hint="eastAsia" w:ascii="仿宋" w:hAnsi="仿宋" w:eastAsia="仿宋" w:cs="仿宋"/>
                <w:color w:val="FF0000"/>
                <w:sz w:val="20"/>
                <w:szCs w:val="20"/>
              </w:rPr>
              <w:t>（必填）</w:t>
            </w:r>
          </w:p>
        </w:tc>
        <w:tc>
          <w:tcPr>
            <w:tcW w:w="7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产品公司名称</w:t>
            </w:r>
          </w:p>
          <w:p>
            <w:pPr>
              <w:pStyle w:val="9"/>
              <w:spacing w:line="240" w:lineRule="exact"/>
              <w:jc w:val="center"/>
              <w:rPr>
                <w:rFonts w:hint="eastAsia" w:ascii="仿宋" w:hAnsi="仿宋" w:eastAsia="仿宋" w:cs="仿宋"/>
                <w:kern w:val="2"/>
              </w:rPr>
            </w:pPr>
            <w:r>
              <w:rPr>
                <w:rFonts w:hint="eastAsia" w:ascii="仿宋" w:hAnsi="仿宋" w:eastAsia="仿宋" w:cs="仿宋"/>
                <w:color w:val="FF0000"/>
                <w:sz w:val="20"/>
                <w:szCs w:val="20"/>
              </w:rPr>
              <w:t>（必填）</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FF0000"/>
                <w:sz w:val="20"/>
                <w:szCs w:val="20"/>
                <w:lang w:val="en-US" w:eastAsia="zh-CN"/>
              </w:rPr>
              <w:t>服务期</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FF0000"/>
                <w:sz w:val="20"/>
                <w:szCs w:val="20"/>
              </w:rPr>
            </w:pPr>
            <w:r>
              <w:rPr>
                <w:rFonts w:hint="eastAsia" w:ascii="仿宋" w:hAnsi="仿宋" w:eastAsia="仿宋" w:cs="仿宋"/>
                <w:color w:val="FF0000"/>
                <w:sz w:val="20"/>
                <w:szCs w:val="20"/>
              </w:rPr>
              <w:t>总包干</w:t>
            </w:r>
          </w:p>
          <w:p>
            <w:pPr>
              <w:widowControl/>
              <w:spacing w:line="240" w:lineRule="exact"/>
              <w:jc w:val="center"/>
              <w:textAlignment w:val="center"/>
              <w:rPr>
                <w:rFonts w:hint="eastAsia" w:ascii="仿宋" w:hAnsi="仿宋" w:eastAsia="仿宋" w:cs="仿宋"/>
                <w:color w:val="000000"/>
                <w:sz w:val="24"/>
              </w:rPr>
            </w:pPr>
            <w:r>
              <w:rPr>
                <w:rFonts w:hint="eastAsia" w:ascii="仿宋" w:hAnsi="仿宋" w:eastAsia="仿宋" w:cs="仿宋"/>
                <w:color w:val="FF0000"/>
                <w:sz w:val="20"/>
                <w:szCs w:val="20"/>
              </w:rPr>
              <w:t>报价</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（万元）</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4"/>
              </w:rPr>
            </w:pPr>
            <w:r>
              <w:rPr>
                <w:rFonts w:hint="eastAsia" w:ascii="仿宋" w:hAnsi="仿宋" w:eastAsia="仿宋" w:cs="仿宋"/>
                <w:sz w:val="20"/>
                <w:szCs w:val="20"/>
              </w:rPr>
              <w:t>该产品在国内三甲医院用户案例</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0"/>
                <w:szCs w:val="20"/>
              </w:rPr>
              <w:t>优势特色</w:t>
            </w:r>
          </w:p>
        </w:tc>
        <w:tc>
          <w:tcPr>
            <w:tcW w:w="5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0"/>
                <w:szCs w:val="20"/>
              </w:rPr>
              <w:t>评级情况</w:t>
            </w:r>
          </w:p>
        </w:tc>
      </w:tr>
      <w:tr>
        <w:tblPrEx>
          <w:tblCellMar>
            <w:top w:w="0" w:type="dxa"/>
            <w:left w:w="108" w:type="dxa"/>
            <w:bottom w:w="0" w:type="dxa"/>
            <w:right w:w="108" w:type="dxa"/>
          </w:tblCellMar>
        </w:tblPrEx>
        <w:trPr>
          <w:trHeight w:val="1435"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w:t>
            </w:r>
          </w:p>
        </w:tc>
        <w:tc>
          <w:tcPr>
            <w:tcW w:w="674"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786"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1年</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541" w:type="pct"/>
            <w:vMerge w:val="restart"/>
            <w:tcBorders>
              <w:top w:val="single" w:color="auto" w:sz="4" w:space="0"/>
              <w:left w:val="single" w:color="auto" w:sz="4" w:space="0"/>
              <w:right w:val="single" w:color="auto" w:sz="4" w:space="0"/>
            </w:tcBorders>
            <w:shd w:val="clear" w:color="auto" w:fill="auto"/>
            <w:vAlign w:val="center"/>
          </w:tcPr>
          <w:p>
            <w:pPr>
              <w:pStyle w:val="9"/>
              <w:spacing w:line="240" w:lineRule="exact"/>
              <w:rPr>
                <w:rFonts w:hint="eastAsia" w:ascii="仿宋" w:hAnsi="仿宋" w:eastAsia="仿宋" w:cs="仿宋"/>
                <w:color w:val="FF0000"/>
                <w:sz w:val="20"/>
                <w:szCs w:val="20"/>
              </w:rPr>
            </w:pPr>
            <w:r>
              <w:rPr>
                <w:rFonts w:hint="eastAsia" w:ascii="仿宋" w:hAnsi="仿宋" w:eastAsia="仿宋" w:cs="仿宋"/>
                <w:color w:val="FF0000"/>
                <w:sz w:val="20"/>
                <w:szCs w:val="20"/>
              </w:rPr>
              <w:t>填写样</w:t>
            </w:r>
            <w:bookmarkStart w:id="42" w:name="_GoBack"/>
            <w:bookmarkEnd w:id="42"/>
            <w:r>
              <w:rPr>
                <w:rFonts w:hint="eastAsia" w:ascii="仿宋" w:hAnsi="仿宋" w:eastAsia="仿宋" w:cs="仿宋"/>
                <w:color w:val="FF0000"/>
                <w:sz w:val="20"/>
                <w:szCs w:val="20"/>
              </w:rPr>
              <w:t>例:</w:t>
            </w:r>
          </w:p>
          <w:p>
            <w:pPr>
              <w:pStyle w:val="9"/>
              <w:spacing w:line="240" w:lineRule="exact"/>
              <w:rPr>
                <w:rFonts w:hint="eastAsia" w:ascii="仿宋" w:hAnsi="仿宋" w:eastAsia="仿宋" w:cs="仿宋"/>
                <w:color w:val="FF0000"/>
                <w:sz w:val="20"/>
                <w:szCs w:val="20"/>
              </w:rPr>
            </w:pPr>
            <w:r>
              <w:rPr>
                <w:rFonts w:hint="eastAsia" w:ascii="仿宋" w:hAnsi="仿宋" w:eastAsia="仿宋" w:cs="仿宋"/>
                <w:color w:val="FF0000"/>
                <w:sz w:val="20"/>
                <w:szCs w:val="20"/>
              </w:rPr>
              <w:t>省内X家，省外X家</w:t>
            </w:r>
          </w:p>
          <w:p>
            <w:pPr>
              <w:widowControl/>
              <w:spacing w:line="240" w:lineRule="exact"/>
              <w:jc w:val="center"/>
              <w:rPr>
                <w:rFonts w:hint="eastAsia" w:ascii="仿宋" w:hAnsi="仿宋" w:eastAsia="仿宋" w:cs="仿宋"/>
                <w:color w:val="000000"/>
                <w:sz w:val="24"/>
              </w:rPr>
            </w:pPr>
            <w:r>
              <w:rPr>
                <w:rFonts w:hint="eastAsia" w:ascii="仿宋" w:hAnsi="仿宋" w:eastAsia="仿宋" w:cs="仿宋"/>
                <w:color w:val="FF0000"/>
                <w:sz w:val="20"/>
                <w:szCs w:val="20"/>
              </w:rPr>
              <w:t>代表案例具体医院名称：</w:t>
            </w:r>
          </w:p>
        </w:tc>
        <w:tc>
          <w:tcPr>
            <w:tcW w:w="1191"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592"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textAlignment w:val="center"/>
              <w:rPr>
                <w:rFonts w:hint="eastAsia" w:ascii="仿宋" w:hAnsi="仿宋" w:eastAsia="仿宋" w:cs="仿宋"/>
                <w:color w:val="FF0000"/>
                <w:sz w:val="20"/>
                <w:szCs w:val="20"/>
              </w:rPr>
            </w:pPr>
            <w:r>
              <w:rPr>
                <w:rFonts w:hint="eastAsia" w:ascii="仿宋" w:hAnsi="仿宋" w:eastAsia="仿宋" w:cs="仿宋"/>
                <w:color w:val="FF0000"/>
                <w:sz w:val="20"/>
                <w:szCs w:val="20"/>
              </w:rPr>
              <w:t>填写样例:</w:t>
            </w:r>
          </w:p>
          <w:p>
            <w:pPr>
              <w:widowControl/>
              <w:spacing w:line="240" w:lineRule="exact"/>
              <w:textAlignment w:val="center"/>
              <w:rPr>
                <w:rFonts w:hint="eastAsia" w:ascii="仿宋" w:hAnsi="仿宋" w:eastAsia="仿宋" w:cs="仿宋"/>
                <w:color w:val="FF0000"/>
                <w:sz w:val="20"/>
                <w:szCs w:val="20"/>
              </w:rPr>
            </w:pPr>
            <w:r>
              <w:rPr>
                <w:rFonts w:hint="eastAsia" w:ascii="仿宋" w:hAnsi="仿宋" w:eastAsia="仿宋" w:cs="仿宋"/>
                <w:color w:val="FF0000"/>
                <w:sz w:val="20"/>
                <w:szCs w:val="20"/>
              </w:rPr>
              <w:t>1.电子病历：</w:t>
            </w:r>
          </w:p>
          <w:p>
            <w:pPr>
              <w:widowControl/>
              <w:spacing w:line="240" w:lineRule="exact"/>
              <w:textAlignment w:val="center"/>
              <w:rPr>
                <w:rFonts w:hint="eastAsia" w:ascii="仿宋" w:hAnsi="仿宋" w:eastAsia="仿宋" w:cs="仿宋"/>
                <w:color w:val="FF0000"/>
                <w:sz w:val="20"/>
                <w:szCs w:val="20"/>
              </w:rPr>
            </w:pPr>
            <w:r>
              <w:rPr>
                <w:rFonts w:hint="eastAsia" w:ascii="仿宋" w:hAnsi="仿宋" w:eastAsia="仿宋" w:cs="仿宋"/>
                <w:color w:val="FF0000"/>
                <w:sz w:val="20"/>
                <w:szCs w:val="20"/>
              </w:rPr>
              <w:t>1.智慧管理：</w:t>
            </w:r>
          </w:p>
          <w:p>
            <w:pPr>
              <w:widowControl/>
              <w:spacing w:line="240" w:lineRule="exact"/>
              <w:textAlignment w:val="center"/>
              <w:rPr>
                <w:rFonts w:hint="eastAsia" w:ascii="仿宋" w:hAnsi="仿宋" w:eastAsia="仿宋" w:cs="仿宋"/>
                <w:color w:val="FF0000"/>
                <w:sz w:val="20"/>
                <w:szCs w:val="20"/>
              </w:rPr>
            </w:pPr>
            <w:r>
              <w:rPr>
                <w:rFonts w:hint="eastAsia" w:ascii="仿宋" w:hAnsi="仿宋" w:eastAsia="仿宋" w:cs="仿宋"/>
                <w:color w:val="FF0000"/>
                <w:sz w:val="20"/>
                <w:szCs w:val="20"/>
              </w:rPr>
              <w:t>3.智慧服务：</w:t>
            </w:r>
          </w:p>
          <w:p>
            <w:pPr>
              <w:widowControl/>
              <w:spacing w:line="240" w:lineRule="exact"/>
              <w:rPr>
                <w:rFonts w:hint="eastAsia" w:ascii="仿宋" w:hAnsi="仿宋" w:eastAsia="仿宋" w:cs="仿宋"/>
                <w:color w:val="000000"/>
                <w:sz w:val="24"/>
              </w:rPr>
            </w:pPr>
            <w:r>
              <w:rPr>
                <w:rFonts w:hint="eastAsia" w:ascii="仿宋" w:hAnsi="仿宋" w:eastAsia="仿宋" w:cs="仿宋"/>
                <w:color w:val="FF0000"/>
                <w:sz w:val="20"/>
                <w:szCs w:val="20"/>
              </w:rPr>
              <w:t>4.四川省智慧医院得分：</w:t>
            </w:r>
          </w:p>
        </w:tc>
      </w:tr>
      <w:tr>
        <w:tblPrEx>
          <w:tblCellMar>
            <w:top w:w="0" w:type="dxa"/>
            <w:left w:w="108" w:type="dxa"/>
            <w:bottom w:w="0" w:type="dxa"/>
            <w:right w:w="108" w:type="dxa"/>
          </w:tblCellMar>
        </w:tblPrEx>
        <w:trPr>
          <w:trHeight w:val="1477"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0"/>
                <w:szCs w:val="20"/>
                <w:lang w:val="en-US" w:eastAsia="zh-CN"/>
              </w:rPr>
              <w:t>2</w:t>
            </w:r>
          </w:p>
        </w:tc>
        <w:tc>
          <w:tcPr>
            <w:tcW w:w="674"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7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3年</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54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119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592"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exact"/>
              <w:rPr>
                <w:rFonts w:hint="eastAsia" w:ascii="仿宋" w:hAnsi="仿宋" w:eastAsia="仿宋" w:cs="仿宋"/>
                <w:color w:val="000000"/>
                <w:sz w:val="24"/>
              </w:rPr>
            </w:pPr>
          </w:p>
        </w:tc>
      </w:tr>
      <w:tr>
        <w:tblPrEx>
          <w:tblCellMar>
            <w:top w:w="0" w:type="dxa"/>
            <w:left w:w="108" w:type="dxa"/>
            <w:bottom w:w="0" w:type="dxa"/>
            <w:right w:w="108" w:type="dxa"/>
          </w:tblCellMar>
        </w:tblPrEx>
        <w:trPr>
          <w:trHeight w:val="640" w:hRule="atLeast"/>
          <w:jc w:val="center"/>
        </w:trPr>
        <w:tc>
          <w:tcPr>
            <w:tcW w:w="16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合计：</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仿宋" w:hAnsi="仿宋" w:eastAsia="仿宋" w:cs="仿宋"/>
                <w:color w:val="000000"/>
                <w:sz w:val="24"/>
              </w:rPr>
            </w:pPr>
          </w:p>
        </w:tc>
      </w:tr>
    </w:tbl>
    <w:p/>
    <w:p>
      <w:pPr>
        <w:pStyle w:val="9"/>
      </w:pPr>
    </w:p>
    <w:p>
      <w:pPr>
        <w:pStyle w:val="9"/>
      </w:pPr>
    </w:p>
    <w:p>
      <w:pPr>
        <w:pStyle w:val="9"/>
      </w:pPr>
    </w:p>
    <w:p>
      <w:pPr>
        <w:pStyle w:val="9"/>
      </w:pPr>
    </w:p>
    <w:p>
      <w:pPr>
        <w:pStyle w:val="9"/>
        <w:sectPr>
          <w:pgSz w:w="16838" w:h="11906" w:orient="landscape"/>
          <w:pgMar w:top="1134" w:right="1134" w:bottom="567" w:left="1134" w:header="851" w:footer="992" w:gutter="0"/>
          <w:cols w:space="425" w:num="1"/>
          <w:docGrid w:type="lines" w:linePitch="312" w:charSpace="0"/>
        </w:sectPr>
      </w:pPr>
    </w:p>
    <w:p>
      <w:pPr>
        <w:pStyle w:val="9"/>
      </w:pPr>
    </w:p>
    <w:p>
      <w:pPr>
        <w:pStyle w:val="2"/>
        <w:numPr>
          <w:ilvl w:val="0"/>
          <w:numId w:val="2"/>
        </w:numPr>
        <w:spacing w:before="100" w:after="100"/>
        <w:jc w:val="both"/>
      </w:pPr>
      <w:bookmarkStart w:id="25" w:name="_Toc32193"/>
      <w:r>
        <w:rPr>
          <w:rFonts w:hint="eastAsia"/>
        </w:rPr>
        <w:t>调研项目配置清单及分项报价明细</w:t>
      </w:r>
      <w:bookmarkEnd w:id="25"/>
    </w:p>
    <w:p>
      <w:r>
        <w:rPr>
          <w:rFonts w:hint="eastAsia"/>
        </w:rPr>
        <w:t>（格式可自拟）</w:t>
      </w:r>
    </w:p>
    <w:p>
      <w:pPr>
        <w:pStyle w:val="2"/>
        <w:spacing w:before="100" w:after="100"/>
        <w:jc w:val="both"/>
      </w:pPr>
      <w:bookmarkStart w:id="26" w:name="_Toc29804"/>
      <w:r>
        <w:rPr>
          <w:rFonts w:hint="eastAsia"/>
        </w:rPr>
        <w:t>五、三甲综合医院同类项目案例</w:t>
      </w:r>
      <w:bookmarkEnd w:id="26"/>
    </w:p>
    <w:p>
      <w:pPr>
        <w:pStyle w:val="3"/>
        <w:ind w:firstLine="482" w:firstLineChars="200"/>
      </w:pPr>
      <w:bookmarkStart w:id="27" w:name="_Toc5033"/>
      <w:r>
        <w:rPr>
          <w:rFonts w:hint="eastAsia"/>
        </w:rPr>
        <w:t>5.1 四川省内（  ）家</w:t>
      </w:r>
      <w:bookmarkEnd w:id="27"/>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2421"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医院名称</w:t>
            </w:r>
          </w:p>
        </w:tc>
        <w:tc>
          <w:tcPr>
            <w:tcW w:w="171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合同标的</w:t>
            </w:r>
          </w:p>
        </w:tc>
        <w:tc>
          <w:tcPr>
            <w:tcW w:w="135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合同金额</w:t>
            </w:r>
          </w:p>
        </w:tc>
        <w:tc>
          <w:tcPr>
            <w:tcW w:w="1425"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实施年份</w:t>
            </w:r>
          </w:p>
        </w:tc>
        <w:tc>
          <w:tcPr>
            <w:tcW w:w="1410" w:type="dxa"/>
            <w:tcBorders>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bl>
    <w:p>
      <w:pPr>
        <w:pStyle w:val="10"/>
        <w:ind w:firstLine="0" w:firstLineChars="0"/>
        <w:rPr>
          <w:rFonts w:hint="eastAsia" w:ascii="仿宋" w:hAnsi="仿宋" w:eastAsia="仿宋" w:cs="仿宋"/>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3"/>
        <w:ind w:firstLine="482" w:firstLineChars="200"/>
      </w:pPr>
      <w:bookmarkStart w:id="28" w:name="_Toc27307"/>
      <w:r>
        <w:rPr>
          <w:rFonts w:hint="eastAsia"/>
        </w:rPr>
        <w:t>5.1 四川省外（  ）家</w:t>
      </w:r>
      <w:bookmarkEnd w:id="28"/>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2421"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医院名称</w:t>
            </w:r>
          </w:p>
        </w:tc>
        <w:tc>
          <w:tcPr>
            <w:tcW w:w="171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合同标的</w:t>
            </w:r>
          </w:p>
        </w:tc>
        <w:tc>
          <w:tcPr>
            <w:tcW w:w="135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合同金额</w:t>
            </w:r>
          </w:p>
        </w:tc>
        <w:tc>
          <w:tcPr>
            <w:tcW w:w="1425"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实施年份</w:t>
            </w:r>
          </w:p>
        </w:tc>
        <w:tc>
          <w:tcPr>
            <w:tcW w:w="1410" w:type="dxa"/>
            <w:tcBorders>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bl>
    <w:p/>
    <w:p>
      <w:pPr>
        <w:pStyle w:val="2"/>
        <w:spacing w:before="100" w:after="100"/>
        <w:jc w:val="both"/>
      </w:pPr>
    </w:p>
    <w:p>
      <w:pPr>
        <w:pStyle w:val="2"/>
        <w:spacing w:before="100" w:after="100"/>
        <w:jc w:val="both"/>
      </w:pPr>
    </w:p>
    <w:p>
      <w:pPr>
        <w:pStyle w:val="2"/>
        <w:spacing w:before="100" w:after="100"/>
        <w:jc w:val="both"/>
      </w:pPr>
    </w:p>
    <w:p>
      <w:pPr>
        <w:pStyle w:val="2"/>
        <w:spacing w:before="100" w:after="100"/>
        <w:jc w:val="both"/>
      </w:pPr>
    </w:p>
    <w:p>
      <w:pPr>
        <w:pStyle w:val="3"/>
        <w:ind w:firstLine="482" w:firstLineChars="200"/>
      </w:pPr>
    </w:p>
    <w:p>
      <w:pPr>
        <w:pStyle w:val="3"/>
        <w:ind w:firstLine="482" w:firstLineChars="200"/>
      </w:pPr>
      <w:bookmarkStart w:id="29" w:name="_Toc138151651"/>
      <w:bookmarkStart w:id="30" w:name="_Toc19497"/>
      <w:r>
        <w:rPr>
          <w:rFonts w:hint="eastAsia"/>
        </w:rPr>
        <w:t>5.3三甲综合医院同类项目案例合同及验收佐证</w:t>
      </w:r>
      <w:bookmarkEnd w:id="29"/>
      <w:bookmarkEnd w:id="30"/>
    </w:p>
    <w:p>
      <w:pPr>
        <w:pStyle w:val="2"/>
        <w:spacing w:before="100" w:after="100"/>
        <w:jc w:val="both"/>
      </w:pPr>
      <w:bookmarkStart w:id="31" w:name="_Toc138151652"/>
      <w:bookmarkStart w:id="32" w:name="_Toc9748"/>
      <w:r>
        <w:rPr>
          <w:rFonts w:hint="eastAsia"/>
        </w:rPr>
        <w:t>六、报价表</w:t>
      </w:r>
      <w:bookmarkEnd w:id="31"/>
      <w:r>
        <w:rPr>
          <w:rFonts w:hint="eastAsia"/>
        </w:rPr>
        <w:t>包含内容</w:t>
      </w:r>
      <w:bookmarkEnd w:id="32"/>
    </w:p>
    <w:p>
      <w:pPr>
        <w:pStyle w:val="9"/>
        <w:ind w:firstLine="560"/>
        <w:rPr>
          <w:rFonts w:hint="eastAsia" w:ascii="仿宋" w:hAnsi="仿宋" w:eastAsia="仿宋" w:cs="仿宋"/>
          <w:color w:val="0000FF"/>
          <w:kern w:val="2"/>
        </w:rPr>
      </w:pPr>
      <w:r>
        <w:rPr>
          <w:rFonts w:hint="eastAsia" w:ascii="仿宋" w:hAnsi="仿宋" w:eastAsia="仿宋" w:cs="仿宋"/>
          <w:color w:val="0000FF"/>
          <w:kern w:val="2"/>
        </w:rPr>
        <w:t>1.报价包含项目实施所涉及的软件及配套硬件、成本、费用和税金，其包括但不限于软件开发、安装、调试、验收、培训、税金、第三方系统的接口开发等费用。</w:t>
      </w:r>
    </w:p>
    <w:p>
      <w:pPr>
        <w:pStyle w:val="9"/>
        <w:ind w:firstLine="560"/>
        <w:rPr>
          <w:rFonts w:hint="eastAsia" w:ascii="仿宋" w:hAnsi="仿宋" w:eastAsia="仿宋" w:cs="仿宋"/>
          <w:color w:val="0000FF"/>
          <w:kern w:val="2"/>
        </w:rPr>
      </w:pPr>
      <w:r>
        <w:rPr>
          <w:rFonts w:hint="eastAsia" w:ascii="仿宋" w:hAnsi="仿宋" w:eastAsia="仿宋" w:cs="仿宋"/>
          <w:color w:val="0000FF"/>
          <w:kern w:val="2"/>
        </w:rPr>
        <w:t>2.系统建设实施直至整体验收提供不少于</w:t>
      </w:r>
      <w:r>
        <w:rPr>
          <w:rFonts w:hint="eastAsia" w:ascii="仿宋" w:hAnsi="仿宋" w:eastAsia="仿宋" w:cs="仿宋"/>
          <w:color w:val="ED7D31" w:themeColor="accent2"/>
          <w:kern w:val="2"/>
          <w14:textFill>
            <w14:solidFill>
              <w14:schemeClr w14:val="accent2"/>
            </w14:solidFill>
          </w14:textFill>
        </w:rPr>
        <w:t>1名</w:t>
      </w:r>
      <w:r>
        <w:rPr>
          <w:rFonts w:hint="eastAsia" w:ascii="仿宋" w:hAnsi="仿宋" w:eastAsia="仿宋" w:cs="仿宋"/>
          <w:color w:val="0000FF"/>
          <w:kern w:val="2"/>
        </w:rPr>
        <w:t>具有实施经验的技术人员常驻医院现场。</w:t>
      </w:r>
    </w:p>
    <w:p>
      <w:pPr>
        <w:pStyle w:val="9"/>
        <w:ind w:firstLine="560"/>
        <w:rPr>
          <w:rFonts w:hint="eastAsia" w:ascii="仿宋" w:hAnsi="仿宋" w:eastAsia="仿宋" w:cs="仿宋"/>
          <w:color w:val="0000FF"/>
          <w:kern w:val="2"/>
        </w:rPr>
      </w:pPr>
      <w:r>
        <w:rPr>
          <w:rFonts w:hint="eastAsia" w:ascii="仿宋" w:hAnsi="仿宋" w:eastAsia="仿宋" w:cs="仿宋"/>
          <w:color w:val="0000FF"/>
          <w:kern w:val="2"/>
        </w:rPr>
        <w:t>3.须同时支持Windows平台和国产化平台，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9"/>
        <w:ind w:firstLine="560"/>
        <w:rPr>
          <w:rFonts w:hint="eastAsia" w:ascii="仿宋" w:hAnsi="仿宋" w:eastAsia="仿宋" w:cs="仿宋"/>
          <w:color w:val="0000FF"/>
          <w:kern w:val="2"/>
        </w:rPr>
      </w:pPr>
      <w:r>
        <w:rPr>
          <w:rFonts w:hint="eastAsia" w:ascii="仿宋" w:hAnsi="仿宋" w:eastAsia="仿宋" w:cs="仿宋"/>
          <w:color w:val="0000FF"/>
          <w:kern w:val="2"/>
        </w:rPr>
        <w:t>4.须支持密评防护,并免费做好该项目涉及的密码应用对接及密评相关工作，须满足医院自行或聘请的第三方网络安全等级保护测评和商用密码应用安全性评估，对测评中出现的软硬件安全漏洞须及时修复、改造。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9"/>
        <w:ind w:firstLine="560"/>
        <w:rPr>
          <w:rFonts w:hint="eastAsia" w:ascii="仿宋" w:hAnsi="仿宋" w:eastAsia="仿宋" w:cs="仿宋"/>
          <w:color w:val="0000FF"/>
          <w:kern w:val="2"/>
        </w:rPr>
      </w:pPr>
      <w:r>
        <w:rPr>
          <w:rFonts w:hint="eastAsia" w:ascii="仿宋" w:hAnsi="仿宋" w:eastAsia="仿宋" w:cs="仿宋"/>
          <w:color w:val="0000FF"/>
          <w:kern w:val="2"/>
        </w:rPr>
        <w:t>5.待资阳市政务服务和大数据管理局完成政务信创云项目建设后，本系统将迁移至政务信创云，需对本项目进行服务及数据迁移，业务中断≤14小时。</w:t>
      </w:r>
    </w:p>
    <w:p>
      <w:pPr>
        <w:pStyle w:val="9"/>
        <w:rPr>
          <w:rFonts w:hint="eastAsia" w:ascii="仿宋" w:hAnsi="仿宋" w:eastAsia="仿宋" w:cs="仿宋"/>
          <w:color w:val="0000FF"/>
          <w:kern w:val="2"/>
        </w:rPr>
      </w:pPr>
    </w:p>
    <w:p>
      <w:pPr>
        <w:pStyle w:val="2"/>
        <w:spacing w:before="100" w:after="100"/>
        <w:jc w:val="both"/>
        <w:rPr>
          <w:rFonts w:hint="eastAsia" w:ascii="仿宋" w:hAnsi="仿宋" w:eastAsia="仿宋" w:cs="仿宋"/>
          <w:b w:val="0"/>
          <w:color w:val="000000"/>
          <w:kern w:val="2"/>
          <w:sz w:val="24"/>
        </w:rPr>
      </w:pPr>
      <w:bookmarkStart w:id="33" w:name="_Toc18260"/>
      <w:r>
        <w:rPr>
          <w:rFonts w:hint="eastAsia"/>
        </w:rPr>
        <w:t>七、建设方案</w:t>
      </w:r>
      <w:bookmarkEnd w:id="33"/>
    </w:p>
    <w:p>
      <w:bookmarkStart w:id="34" w:name="_Toc138151653"/>
      <w:r>
        <w:rPr>
          <w:rFonts w:hint="eastAsia"/>
        </w:rPr>
        <w:t>（包含以内容，其他内容自拟）</w:t>
      </w:r>
    </w:p>
    <w:p>
      <w:pPr>
        <w:pStyle w:val="3"/>
        <w:ind w:firstLine="482" w:firstLineChars="200"/>
      </w:pPr>
      <w:bookmarkStart w:id="35" w:name="_Toc6143"/>
      <w:r>
        <w:rPr>
          <w:rFonts w:hint="eastAsia"/>
        </w:rPr>
        <w:t>7.1 实施条件（实施所需的支持条件）</w:t>
      </w:r>
      <w:bookmarkEnd w:id="34"/>
      <w:bookmarkEnd w:id="35"/>
    </w:p>
    <w:p>
      <w:pPr>
        <w:pStyle w:val="3"/>
        <w:ind w:firstLine="482" w:firstLineChars="200"/>
      </w:pPr>
      <w:bookmarkStart w:id="36" w:name="_Toc1131"/>
      <w:bookmarkStart w:id="37" w:name="_Toc138151654"/>
      <w:r>
        <w:rPr>
          <w:rFonts w:hint="eastAsia"/>
        </w:rPr>
        <w:t>7.1 实施周期</w:t>
      </w:r>
      <w:bookmarkEnd w:id="36"/>
      <w:bookmarkEnd w:id="37"/>
    </w:p>
    <w:p>
      <w:pPr>
        <w:pStyle w:val="3"/>
        <w:ind w:firstLine="482" w:firstLineChars="200"/>
      </w:pPr>
      <w:bookmarkStart w:id="38" w:name="_Toc28875"/>
      <w:bookmarkStart w:id="39" w:name="_Toc138151655"/>
      <w:r>
        <w:rPr>
          <w:rFonts w:hint="eastAsia"/>
        </w:rPr>
        <w:t>7.3 系统运行环境</w:t>
      </w:r>
      <w:bookmarkEnd w:id="38"/>
      <w:bookmarkEnd w:id="39"/>
    </w:p>
    <w:p>
      <w:pPr>
        <w:pStyle w:val="3"/>
        <w:ind w:firstLine="482" w:firstLineChars="200"/>
      </w:pPr>
      <w:bookmarkStart w:id="40" w:name="_Toc28653"/>
      <w:bookmarkStart w:id="41" w:name="_Toc138151656"/>
      <w:r>
        <w:rPr>
          <w:rFonts w:hint="eastAsia"/>
        </w:rPr>
        <w:t>7.4 系统总体架构</w:t>
      </w:r>
      <w:bookmarkEnd w:id="40"/>
      <w:bookmarkEnd w:id="41"/>
    </w:p>
    <w:p/>
    <w:p/>
    <w:p/>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F7F0A"/>
    <w:rsid w:val="2C7F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b/>
      <w:kern w:val="44"/>
      <w:sz w:val="30"/>
    </w:rPr>
  </w:style>
  <w:style w:type="paragraph" w:styleId="3">
    <w:name w:val="heading 2"/>
    <w:basedOn w:val="1"/>
    <w:next w:val="1"/>
    <w:unhideWhenUsed/>
    <w:qFormat/>
    <w:uiPriority w:val="0"/>
    <w:pPr>
      <w:keepNext/>
      <w:keepLines/>
      <w:spacing w:line="360" w:lineRule="auto"/>
      <w:outlineLvl w:val="1"/>
    </w:pPr>
    <w:rPr>
      <w:rFonts w:ascii="Arial" w:hAnsi="Arial" w:eastAsia="黑体"/>
      <w:b/>
      <w:sz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lang w:val="zh-CN" w:bidi="zh-CN"/>
    </w:rPr>
  </w:style>
  <w:style w:type="paragraph" w:styleId="5">
    <w:name w:val="toc 1"/>
    <w:basedOn w:val="1"/>
    <w:next w:val="1"/>
    <w:qFormat/>
    <w:uiPriority w:val="39"/>
  </w:style>
  <w:style w:type="paragraph" w:styleId="6">
    <w:name w:val="toc 2"/>
    <w:basedOn w:val="1"/>
    <w:next w:val="1"/>
    <w:qFormat/>
    <w:uiPriority w:val="0"/>
    <w:pPr>
      <w:ind w:left="420" w:left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2024-08-05T08:30:00Z</dcterms:created>
  <dc:creator>zora</dc:creator>
  <cp:lastModifiedBy>zora</cp:lastModifiedBy>
  <dcterms:modified xsi:type="dcterms:W3CDTF">2024-08-05T08:33:23Z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3885329DCAFF429AB0E3055E91117186</vt:lpwstr>
  </property>
</Properties>
</file>