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资阳市中心医院医保接口数据加工处理服务采购项目（</w:t>
      </w:r>
      <w:r>
        <w:rPr>
          <w:rFonts w:hint="eastAsia" w:ascii="宋体" w:hAnsi="宋体" w:cs="宋体"/>
          <w:b/>
          <w:bCs/>
          <w:spacing w:val="-12"/>
          <w:sz w:val="48"/>
          <w:szCs w:val="48"/>
          <w:highlight w:val="none"/>
          <w:lang w:val="en-US" w:eastAsia="zh-CN"/>
        </w:rPr>
        <w:t>第二次</w:t>
      </w:r>
      <w:r>
        <w:rPr>
          <w:rFonts w:hint="eastAsia" w:ascii="宋体" w:hAnsi="宋体" w:cs="宋体"/>
          <w:b/>
          <w:bCs/>
          <w:spacing w:val="-12"/>
          <w:sz w:val="48"/>
          <w:szCs w:val="48"/>
          <w:highlight w:val="none"/>
          <w:lang w:eastAsia="zh-CN"/>
        </w:rPr>
        <w:t>）</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837"/>
      <w:bookmarkStart w:id="1" w:name="_Toc173895652"/>
      <w:bookmarkStart w:id="2" w:name="_Toc211679176"/>
      <w:bookmarkStart w:id="3" w:name="_Toc180296779"/>
      <w:r>
        <w:rPr>
          <w:rFonts w:hint="eastAsia" w:ascii="宋体" w:hAnsi="宋体" w:cs="宋体"/>
          <w:b/>
          <w:bCs/>
          <w:kern w:val="44"/>
          <w:sz w:val="32"/>
          <w:szCs w:val="32"/>
          <w:highlight w:val="none"/>
        </w:rPr>
        <w:t>第一章比选邀请</w:t>
      </w:r>
    </w:p>
    <w:p>
      <w:pPr>
        <w:pStyle w:val="16"/>
        <w:spacing w:line="360" w:lineRule="auto"/>
        <w:ind w:left="0" w:leftChars="0"/>
        <w:rPr>
          <w:rFonts w:ascii="宋体"/>
          <w:b/>
          <w:bCs/>
          <w:sz w:val="36"/>
          <w:szCs w:val="36"/>
          <w:highlight w:val="none"/>
        </w:rPr>
      </w:pPr>
    </w:p>
    <w:p>
      <w:pPr>
        <w:pStyle w:val="16"/>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资阳市中心医院医保接口数据加工处理服务采购项目（</w:t>
      </w:r>
      <w:r>
        <w:rPr>
          <w:rFonts w:hint="eastAsia" w:ascii="宋体" w:hAnsi="宋体" w:cs="宋体"/>
          <w:b/>
          <w:bCs/>
          <w:kern w:val="0"/>
          <w:highlight w:val="none"/>
          <w:u w:val="single"/>
          <w:lang w:val="en-US" w:eastAsia="zh-CN"/>
        </w:rPr>
        <w:t>第二次</w:t>
      </w:r>
      <w:r>
        <w:rPr>
          <w:rFonts w:hint="eastAsia" w:ascii="宋体" w:hAnsi="宋体" w:cs="宋体"/>
          <w:b/>
          <w:bCs/>
          <w:kern w:val="0"/>
          <w:highlight w:val="none"/>
          <w:u w:val="single"/>
          <w:lang w:eastAsia="zh-CN"/>
        </w:rPr>
        <w:t>）</w:t>
      </w:r>
      <w:r>
        <w:rPr>
          <w:rFonts w:hint="eastAsia" w:ascii="宋体" w:hAnsi="宋体" w:cs="宋体"/>
          <w:b/>
          <w:bCs/>
          <w:spacing w:val="-4"/>
          <w:kern w:val="0"/>
          <w:highlight w:val="none"/>
        </w:rPr>
        <w:t>进行比选采购，欢迎符合资质要求的供应商前来参加。</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6"/>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资阳市中心医院医保接口数据加工处理服务采购项目（</w:t>
      </w:r>
      <w:r>
        <w:rPr>
          <w:rFonts w:hint="eastAsia" w:ascii="宋体" w:hAnsi="宋体" w:cs="宋体"/>
          <w:b/>
          <w:bCs/>
          <w:kern w:val="0"/>
          <w:highlight w:val="none"/>
          <w:lang w:val="en-US" w:eastAsia="zh-CN"/>
        </w:rPr>
        <w:t>第二次</w:t>
      </w:r>
      <w:r>
        <w:rPr>
          <w:rFonts w:hint="eastAsia" w:ascii="宋体" w:hAnsi="宋体" w:cs="宋体"/>
          <w:b/>
          <w:bCs/>
          <w:kern w:val="0"/>
          <w:highlight w:val="none"/>
          <w:lang w:eastAsia="zh-CN"/>
        </w:rPr>
        <w:t>）</w:t>
      </w:r>
    </w:p>
    <w:p>
      <w:pPr>
        <w:pStyle w:val="16"/>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个包，最高限价</w:t>
      </w:r>
      <w:r>
        <w:rPr>
          <w:rFonts w:hint="eastAsia" w:ascii="宋体" w:hAnsi="宋体" w:cs="宋体"/>
          <w:i w:val="0"/>
          <w:iCs w:val="0"/>
          <w:color w:val="000000"/>
          <w:kern w:val="0"/>
          <w:sz w:val="22"/>
          <w:szCs w:val="22"/>
          <w:highlight w:val="none"/>
          <w:u w:val="none"/>
          <w:lang w:val="en-US" w:eastAsia="zh-CN" w:bidi="ar"/>
        </w:rPr>
        <w:t>8.7</w:t>
      </w:r>
      <w:r>
        <w:rPr>
          <w:rFonts w:hint="eastAsia" w:ascii="宋体" w:hAnsi="宋体" w:cs="宋体"/>
          <w:spacing w:val="-4"/>
          <w:highlight w:val="none"/>
          <w:lang w:val="en-US" w:eastAsia="zh-CN"/>
        </w:rPr>
        <w:t>万元</w:t>
      </w:r>
      <w:r>
        <w:rPr>
          <w:rFonts w:hint="eastAsia" w:ascii="宋体" w:hAnsi="宋体" w:eastAsia="宋体" w:cs="宋体"/>
          <w:color w:val="5B5852"/>
          <w:kern w:val="0"/>
          <w:sz w:val="24"/>
          <w:szCs w:val="24"/>
          <w:lang w:val="en-US" w:eastAsia="zh-CN"/>
        </w:rPr>
        <w:t>（服务期三年）</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7"/>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2"/>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2"/>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2"/>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2"/>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b/>
          <w:bCs/>
          <w:kern w:val="0"/>
          <w:highlight w:val="none"/>
        </w:rPr>
        <w:t>六、比选文件获取时间、地点：</w:t>
      </w:r>
      <w:r>
        <w:rPr>
          <w:rFonts w:hint="eastAsia" w:ascii="宋体" w:hAnsi="宋体" w:eastAsia="宋体" w:cs="宋体"/>
          <w:kern w:val="2"/>
          <w:sz w:val="21"/>
          <w:szCs w:val="21"/>
          <w:highlight w:val="none"/>
          <w:lang w:val="en-US" w:eastAsia="zh-CN" w:bidi="ar-SA"/>
        </w:rPr>
        <w:t>比选文件自2024年5月14日至2024年5月17日，自行在资阳市中心医院官方网站下载。</w:t>
      </w:r>
    </w:p>
    <w:p>
      <w:pPr>
        <w:spacing w:line="360" w:lineRule="auto"/>
        <w:ind w:firstLine="396" w:firstLineChars="200"/>
        <w:rPr>
          <w:rFonts w:hint="eastAsia" w:ascii="宋体" w:hAnsi="宋体" w:eastAsia="宋体" w:cs="宋体"/>
          <w:kern w:val="2"/>
          <w:sz w:val="21"/>
          <w:szCs w:val="21"/>
          <w:highlight w:val="none"/>
          <w:lang w:val="en-US" w:eastAsia="zh-CN" w:bidi="ar-SA"/>
        </w:rPr>
      </w:pPr>
      <w:r>
        <w:rPr>
          <w:rFonts w:hint="eastAsia" w:ascii="宋体" w:hAnsi="宋体" w:cs="宋体"/>
          <w:b/>
          <w:bCs/>
          <w:spacing w:val="-6"/>
          <w:kern w:val="0"/>
          <w:highlight w:val="none"/>
        </w:rPr>
        <w:t>七、</w:t>
      </w:r>
      <w:bookmarkStart w:id="4" w:name="OLE_LINK1"/>
      <w:bookmarkStart w:id="5" w:name="OLE_LINK2"/>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eastAsia="宋体" w:cs="宋体"/>
          <w:kern w:val="2"/>
          <w:sz w:val="21"/>
          <w:szCs w:val="21"/>
          <w:highlight w:val="none"/>
          <w:lang w:val="en-US" w:eastAsia="zh-CN" w:bidi="ar-SA"/>
        </w:rPr>
        <w:t>2024年5月20日14时30分，现场递交比选申请文件，逾期送达比选申请文件将被拒绝。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420" w:firstLineChars="200"/>
        <w:rPr>
          <w:rFonts w:ascii="宋体"/>
          <w:kern w:val="0"/>
          <w:highlight w:val="none"/>
        </w:rPr>
      </w:pP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211679177"/>
      <w:bookmarkStart w:id="7" w:name="_Toc180296780"/>
      <w:bookmarkStart w:id="8" w:name="_Toc173895838"/>
      <w:bookmarkStart w:id="9" w:name="_Toc173895653"/>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840"/>
      <w:bookmarkStart w:id="11" w:name="_Toc211679179"/>
      <w:bookmarkStart w:id="12" w:name="_Toc173895655"/>
      <w:bookmarkStart w:id="13" w:name="_Toc180296782"/>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5"/>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15"/>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5"/>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5"/>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5"/>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spacing w:line="360" w:lineRule="auto"/>
        <w:ind w:firstLine="420" w:firstLineChars="200"/>
        <w:rPr>
          <w:rFonts w:ascii="宋体"/>
          <w:kern w:val="0"/>
          <w:highlight w:val="none"/>
        </w:rPr>
      </w:pPr>
      <w:bookmarkStart w:id="22" w:name="_Toc173895842"/>
      <w:bookmarkStart w:id="23" w:name="_Toc180296784"/>
      <w:bookmarkStart w:id="24" w:name="_Toc173895657"/>
      <w:bookmarkStart w:id="25" w:name="_Toc211679181"/>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04" w:firstLineChars="200"/>
        <w:rPr>
          <w:rFonts w:ascii="宋体"/>
          <w:spacing w:val="-4"/>
          <w:highlight w:val="none"/>
        </w:rPr>
      </w:pPr>
      <w:r>
        <w:rPr>
          <w:rFonts w:ascii="宋体"/>
          <w:spacing w:val="-4"/>
          <w:highlight w:val="none"/>
        </w:rPr>
        <w:br w:type="page"/>
      </w:r>
    </w:p>
    <w:p>
      <w:pPr>
        <w:pStyle w:val="16"/>
        <w:tabs>
          <w:tab w:val="left" w:pos="897"/>
        </w:tabs>
        <w:ind w:right="-359" w:rightChars="-171" w:firstLine="0"/>
        <w:jc w:val="center"/>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u w:val="single"/>
          <w:lang w:val="en-US" w:eastAsia="zh-CN" w:bidi="ar-SA"/>
        </w:rPr>
        <w:t xml:space="preserve">                      </w:t>
      </w:r>
      <w:r>
        <w:rPr>
          <w:rFonts w:hint="eastAsia" w:ascii="宋体" w:hAnsi="宋体" w:eastAsia="宋体" w:cs="宋体"/>
          <w:spacing w:val="-4"/>
          <w:kern w:val="0"/>
          <w:sz w:val="21"/>
          <w:szCs w:val="21"/>
          <w:highlight w:val="none"/>
          <w:lang w:val="en-US" w:eastAsia="zh-CN" w:bidi="ar-SA"/>
        </w:rPr>
        <w:t>合同（模板）</w:t>
      </w:r>
    </w:p>
    <w:p>
      <w:pPr>
        <w:wordWrap w:val="0"/>
        <w:adjustRightInd w:val="0"/>
        <w:spacing w:line="240" w:lineRule="auto"/>
        <w:ind w:right="-359" w:rightChars="-171"/>
        <w:jc w:val="right"/>
        <w:textAlignment w:val="baseline"/>
        <w:rPr>
          <w:rFonts w:ascii="仿宋_GB2312" w:eastAsia="仿宋_GB2312"/>
          <w:sz w:val="30"/>
          <w:szCs w:val="30"/>
        </w:rPr>
      </w:pPr>
      <w:r>
        <w:rPr>
          <w:rFonts w:hint="eastAsia" w:ascii="仿宋_GB2312" w:eastAsia="仿宋_GB2312"/>
          <w:sz w:val="24"/>
        </w:rPr>
        <w:t xml:space="preserve">                                               </w:t>
      </w:r>
      <w:r>
        <w:rPr>
          <w:rFonts w:hint="eastAsia" w:ascii="仿宋_GB2312" w:eastAsia="仿宋_GB2312"/>
          <w:color w:val="FF0000"/>
          <w:kern w:val="0"/>
          <w:sz w:val="30"/>
          <w:szCs w:val="30"/>
        </w:rPr>
        <w:t xml:space="preserve">            </w:t>
      </w:r>
    </w:p>
    <w:p>
      <w:pPr>
        <w:pStyle w:val="72"/>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签订地点：</w:t>
      </w:r>
    </w:p>
    <w:p>
      <w:pPr>
        <w:pStyle w:val="72"/>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签订时间：    年   月   日</w:t>
      </w:r>
    </w:p>
    <w:p>
      <w:pPr>
        <w:pStyle w:val="72"/>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采购人（甲方）：资阳市中心医院</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供应商（乙方）：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根据《中华人民共和国民法典》及相关法律法规要求，详细技术说明及其他有关合同项目的特定信息由合同附件予以说明，合同附件及本项目的《招标文件》、《投标文件》、《中标通知书》等均为本合同不可分割的部分，如有不一致之处，以日期在后的为准。双方同意共同遵守如下条款：</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val="0"/>
          <w:bCs w:val="0"/>
          <w:spacing w:val="-4"/>
          <w:kern w:val="0"/>
          <w:sz w:val="21"/>
          <w:szCs w:val="21"/>
          <w:highlight w:val="none"/>
          <w:u w:val="none"/>
          <w:lang w:val="en-US" w:eastAsia="zh-CN" w:bidi="ar-SA"/>
        </w:rPr>
        <w:t>一、</w:t>
      </w:r>
      <w:r>
        <w:rPr>
          <w:rFonts w:hint="eastAsia" w:ascii="宋体" w:hAnsi="宋体" w:eastAsia="宋体" w:cs="宋体"/>
          <w:b/>
          <w:bCs/>
          <w:spacing w:val="-4"/>
          <w:kern w:val="0"/>
          <w:sz w:val="21"/>
          <w:szCs w:val="21"/>
          <w:highlight w:val="none"/>
          <w:u w:val="none"/>
          <w:lang w:val="en-US" w:eastAsia="zh-CN" w:bidi="ar-SA"/>
        </w:rPr>
        <w:t>服务内容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服务内容：在本合同服务期内，乙方按本合同服务内容并完全遵从“国家医保局医疗保障信息平台定点医药机构接口规范”向甲方提供医院接口技术服务与咨询服务（下称“服务与支持"）。</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具体内容如下：</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（1）提供医院医保业务历史数据的查对、根据医保政策的调整，对医保接口的升级配合联调(但不含程序的框架调整及业务模式的改变)。</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（2）提供医保接口的业务咨询、协助排查由于his系统故障所导致的医保接口业务故障。</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（3）协助排查由于硬件故障所导致的医保接口业务故障。</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（4）协助查网络故障所导致的医保接口业务故障。</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（5）技术支持服务：提供电话、在线以及现场技术支持服务。对于电话、在线支持服务无法解决的问题，根据甲方的要求乙方提供技术人员现场培训、故障诊断和排除服务。</w:t>
      </w:r>
    </w:p>
    <w:p>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二、合同总金额</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合同总金额：XXXXX万元，大写：XXXXX。该合同总金额已包括该服务项目软件及配套硬件、耗材、线路以及相关布线施工、开孔、开槽、运输、安装、调试、运保、培训、售后服务、接口费用等全部费用。本合同执行期间合同总金额不变，甲方无须另向乙方支付本合同规定之外的其他任何费用。</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三、付款方式</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w:t>
      </w:r>
      <w:r>
        <w:rPr>
          <w:rFonts w:hint="eastAsia" w:ascii="宋体" w:hAnsi="宋体" w:cs="宋体"/>
          <w:spacing w:val="-4"/>
          <w:kern w:val="0"/>
          <w:sz w:val="21"/>
          <w:szCs w:val="21"/>
          <w:highlight w:val="none"/>
          <w:lang w:val="en-US" w:eastAsia="zh-CN" w:bidi="ar-SA"/>
        </w:rPr>
        <w:t>每年支付一次当年的服务费：合同签订后或</w:t>
      </w:r>
      <w:r>
        <w:rPr>
          <w:rFonts w:hint="eastAsia" w:ascii="宋体" w:hAnsi="宋体" w:cs="宋体"/>
          <w:spacing w:val="-4"/>
          <w:kern w:val="0"/>
          <w:sz w:val="21"/>
          <w:szCs w:val="21"/>
          <w:highlight w:val="none"/>
          <w:lang w:val="en-US" w:eastAsia="zh-CN" w:bidi="ar-SA"/>
        </w:rPr>
        <w:t>后续服务合同年开始后30个工作日内</w:t>
      </w:r>
      <w:r>
        <w:rPr>
          <w:rFonts w:hint="eastAsia" w:ascii="宋体" w:hAnsi="宋体" w:eastAsia="宋体" w:cs="宋体"/>
          <w:spacing w:val="-4"/>
          <w:kern w:val="0"/>
          <w:sz w:val="21"/>
          <w:szCs w:val="21"/>
          <w:highlight w:val="none"/>
          <w:lang w:val="en-US" w:eastAsia="zh-CN" w:bidi="ar-SA"/>
        </w:rPr>
        <w:t>，支付合同总金额</w:t>
      </w:r>
      <w:r>
        <w:rPr>
          <w:rFonts w:hint="eastAsia" w:ascii="宋体" w:hAnsi="宋体" w:cs="宋体"/>
          <w:spacing w:val="-4"/>
          <w:kern w:val="0"/>
          <w:sz w:val="21"/>
          <w:szCs w:val="21"/>
          <w:highlight w:val="none"/>
          <w:lang w:val="en-US" w:eastAsia="zh-CN" w:bidi="ar-SA"/>
        </w:rPr>
        <w:t>的三分之一（即当年服务费）</w:t>
      </w:r>
      <w:r>
        <w:rPr>
          <w:rFonts w:hint="eastAsia" w:ascii="宋体" w:hAnsi="宋体" w:eastAsia="宋体" w:cs="宋体"/>
          <w:spacing w:val="-4"/>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2.乙方向甲方出具</w:t>
      </w:r>
      <w:r>
        <w:rPr>
          <w:rFonts w:hint="eastAsia" w:ascii="宋体" w:hAnsi="宋体" w:cs="宋体"/>
          <w:spacing w:val="-4"/>
          <w:kern w:val="0"/>
          <w:sz w:val="21"/>
          <w:szCs w:val="21"/>
          <w:highlight w:val="none"/>
          <w:lang w:val="en-US" w:eastAsia="zh-CN" w:bidi="ar-SA"/>
        </w:rPr>
        <w:t>相应金额的</w:t>
      </w:r>
      <w:r>
        <w:rPr>
          <w:rFonts w:hint="eastAsia" w:ascii="宋体" w:hAnsi="宋体" w:eastAsia="宋体" w:cs="宋体"/>
          <w:spacing w:val="-4"/>
          <w:kern w:val="0"/>
          <w:sz w:val="21"/>
          <w:szCs w:val="21"/>
          <w:highlight w:val="none"/>
          <w:lang w:val="en-US" w:eastAsia="zh-CN" w:bidi="ar-SA"/>
        </w:rPr>
        <w:t>合法有效完整的完税发票及凭证资料</w:t>
      </w:r>
      <w:r>
        <w:rPr>
          <w:rFonts w:hint="eastAsia" w:ascii="宋体" w:hAnsi="宋体" w:cs="宋体"/>
          <w:spacing w:val="-4"/>
          <w:kern w:val="0"/>
          <w:sz w:val="21"/>
          <w:szCs w:val="21"/>
          <w:highlight w:val="none"/>
          <w:lang w:val="en-US" w:eastAsia="zh-CN" w:bidi="ar-SA"/>
        </w:rPr>
        <w:t>后，</w:t>
      </w:r>
      <w:r>
        <w:rPr>
          <w:rFonts w:hint="eastAsia" w:ascii="宋体" w:hAnsi="宋体" w:eastAsia="宋体" w:cs="宋体"/>
          <w:spacing w:val="-4"/>
          <w:kern w:val="0"/>
          <w:sz w:val="21"/>
          <w:szCs w:val="21"/>
          <w:highlight w:val="none"/>
          <w:lang w:val="en-US" w:eastAsia="zh-CN" w:bidi="ar-SA"/>
        </w:rPr>
        <w:t>甲方方进行支付结算。</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default"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四、服务期限及服务要求</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u w:val="none"/>
          <w:lang w:val="en-US" w:eastAsia="zh-CN" w:bidi="ar-SA"/>
        </w:rPr>
        <w:t>1.服务期限</w:t>
      </w:r>
      <w:r>
        <w:rPr>
          <w:rFonts w:hint="eastAsia" w:ascii="宋体" w:hAnsi="宋体" w:eastAsia="宋体" w:cs="宋体"/>
          <w:spacing w:val="-4"/>
          <w:kern w:val="0"/>
          <w:sz w:val="21"/>
          <w:szCs w:val="21"/>
          <w:highlight w:val="none"/>
          <w:lang w:val="en-US" w:eastAsia="zh-CN" w:bidi="ar-SA"/>
        </w:rPr>
        <w:t>三年，2024年11月10日到2027年11月9日</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2.服务期内，甲方提出服务申请后，乙方须及时响应。</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（1）电话咨询服务：提供工作日8：00-20：30服务,节假日9：00-17:00服务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（2）对于电话咨询无法解决的问题，乙方提供远程在线诊断和故障排除，经甲方授权乙方可通过远程登录甲方网络系统进行系统维护和故障排除(需要系统和网络的支持)。</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五、双方权利与义务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b w:val="0"/>
          <w:bCs/>
          <w:sz w:val="24"/>
          <w:szCs w:val="24"/>
          <w:lang w:val="en-US" w:eastAsia="zh-CN"/>
        </w:rPr>
        <w:t xml:space="preserve"> </w:t>
      </w:r>
      <w:r>
        <w:rPr>
          <w:rFonts w:hint="eastAsia" w:ascii="宋体" w:hAnsi="宋体" w:eastAsia="宋体" w:cs="宋体"/>
          <w:spacing w:val="-4"/>
          <w:kern w:val="0"/>
          <w:sz w:val="21"/>
          <w:szCs w:val="21"/>
          <w:highlight w:val="none"/>
          <w:u w:val="none"/>
          <w:lang w:val="en-US" w:eastAsia="zh-CN" w:bidi="ar-SA"/>
        </w:rPr>
        <w:t>（一）乙方权利与义务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1.甲方需具备使用医院接口技术服务的计算机设备、网络及其它信息和资源。</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2.甲方应向乙方准确、及时地反馈遇到的问题，使乙方能及时了解并解决问题。</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3.非经乙方许可及乙方工程师指导，甲方或非授权的第三方人员不得擅自篡改、调试系统，如果系统损坏，则由甲方另行承担修复费用。</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4.甲方应按合同约定向乙方支付相关服务费用。</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 xml:space="preserve"> （二）乙方权利与义务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1.乙方不承担甲方人员因非法操作、感染病毒、硬件出现故障等导致的数据混乱、丢失以及不能正常使用软件所造成的损失。</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2.乙方应就甲方在服务期限内提供的各种资料和业务相关的一切业务细节、业务流程、业务逻辑(包括相关文件、资料)给予严格保密。</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bookmarkStart w:id="26" w:name="_Toc5295"/>
      <w:bookmarkStart w:id="27" w:name="_Toc318364119"/>
      <w:bookmarkStart w:id="28" w:name="_Toc217446114"/>
      <w:r>
        <w:rPr>
          <w:rFonts w:hint="eastAsia" w:ascii="宋体" w:hAnsi="宋体" w:eastAsia="宋体" w:cs="宋体"/>
          <w:b/>
          <w:bCs/>
          <w:spacing w:val="-4"/>
          <w:kern w:val="0"/>
          <w:sz w:val="21"/>
          <w:szCs w:val="21"/>
          <w:highlight w:val="none"/>
          <w:u w:val="none"/>
          <w:lang w:val="en-US" w:eastAsia="zh-CN" w:bidi="ar-SA"/>
        </w:rPr>
        <w:t>六、</w:t>
      </w:r>
      <w:bookmarkEnd w:id="26"/>
      <w:bookmarkEnd w:id="27"/>
      <w:bookmarkEnd w:id="28"/>
      <w:r>
        <w:rPr>
          <w:rFonts w:hint="eastAsia" w:ascii="宋体" w:hAnsi="宋体" w:eastAsia="宋体" w:cs="宋体"/>
          <w:b/>
          <w:bCs/>
          <w:spacing w:val="-4"/>
          <w:kern w:val="0"/>
          <w:sz w:val="21"/>
          <w:szCs w:val="21"/>
          <w:highlight w:val="none"/>
          <w:u w:val="none"/>
          <w:lang w:val="en-US" w:eastAsia="zh-CN" w:bidi="ar-SA"/>
        </w:rPr>
        <w:t>知识产权归属和处理方式</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乙方应保证在本项目使用（包括部分使用）的任何产品和服务时，不会产生因第三方提出侵犯其专利权、商标权或其它知识产权而引起的法律和经济纠纷，如因专利权、商标权或其它知识产权而引起法律和经济纠纷，由乙方承担所有相关责任。</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2.如采用乙方所不拥有的知识产权，则在投标报价中必须包括合法获取该知识产权的相关费用。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3.甲方享有本项目实施过程中产生的相关知识成果及知识产权的永久使用权。合同终止或中止或合同出现争议期间，乙方不得设置任何软件登陆密码等方式，限制甲方正常使用。因乙方单方面限制导致甲方无法使用软件造成乙方的损失，均由乙方负责及承担。</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七、保密的内容和范围</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乙方应自觉维护甲方的利益，严格遵守保密等相关法律法规和甲方规定，不得向任何单位和个人泄露甲方的任何资料信息，不得利用所掌握的信息数据牟取私利，乙方须加强保密管理，对乙方的参与项目的工作人员开展背景审查、签署保密协议等措施，确保乙方及乙方参与人员不向第三方公开或披露任何保密信息，不论甲方披露的信息采用直接、间接还是口头或书面等形式，只要涉及到甲方未曾发表、公开或公众的信息，该信息即在的保密范围。</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（1）技术信息：包括涉及甲方信息化建设中的技术信息，包括软件技术、数据、管理文件等；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（2）人事信息：包括涉及甲方的人事档案、薪酬、及考核等人力资源管理信息；</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（3）医院运行信息：包括涉及甲方业务运行的各种信息，医院经营方向、经营决策、定价政策以及内部掌握的合同、协议、项目方案等；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（4）财务信息：包括涉及甲方的各项财务报表、成本及预算报告、员工工资等；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（5）患者信息：包括涉及甲方门诊、住院患者的相关诊疗信息，如患者基本信息、诊疗计划、病历信息、费用信息、处方等；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（6）甲方依照法律、法规或相关协议规定，对外承担保密义务的其他事项。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2.未经甲方书面批准，乙方不得以直接或间接方式向第三方透露甲方相关保密信息，包括本项目的相关文件、技术方案、实施计划等相关信息。乙方不得将上述信息进行买卖，谋取不正当利益。</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3.乙方不得为药品生产、经营企业以及其他人员提供任何形式的医院药品、器械、耗材等使用信息，或各类商业目的的“统方”，不利用工作之便或个人关系为医药营销人员统方提供信息数据便利。</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4.对于甲方向乙方提供的系统登录用户名和密码，乙方仅用于维护使用，不得擅自做其他用途或泄露给第三方。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5.乙方不得利用甲方提供的电脑和网络系统，私自连接外网，发送垃圾邮件、攻击网络和计算机系统，不得私自使用外来移动硬盘、U盘、光盘等移动存储介质，防止计算机病毒传播，危害网络信息安全。乙方不得在运行的信息系统上私自开发、挂靠与业务工作无关的软件或系统，不得发布通知或广告。</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6.乙方有违反保密的情形，无论故意与过失，应当立即停止侵害，并在第一时间采取一切必要措施防止保密信息的扩散，尽最大可能消除影响，并及时通知甲方。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7.乙方违反保密的规定，应承担由此产生的全部责任，包括但不限于律师代理费、诉讼费、差旅费、材料费、调查费、评估费、鉴定费等一切费用。同时乙方应向甲方支付违约金，违约金的具体数额由甲乙双方协商确定。违约金数额并不影响受损害方向违约方要求损害赔偿。该等赔偿以受损害方实际遭受的损失为限。</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8.合同的变更、解除或无效，不影响本条款的效力，保密有效期一直有效。</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八、安全生产管理</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1.乙方必须遵守有关安全生产的法律、法规及甲方相关安全生产管理规定，加强安全生产管理，乙方为该项目的安全责任人，建立、健全安全生产责任制度，完善安全生产条件，确保安全生产。</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2.乙方在项目供货、安装、实施、使用、维护服务、售后服务期间，乙方所发生的和因乙方引起的一切安全事故或劳动纠纷等，其责任均由乙方单方承担，与甲方无关。且不得因此影响项目进度。</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3.乙方必须遵守有关网络安全法律法规及甲方相关网络安全管理规定，因乙方过失导致网络安全事故发生，乙方应承担全部责任。</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九、争议解决办法</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1.本合同的变更必须由双方协商一致，并以书面形式确定。补充协议与本协议具有同等法律效力。</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2.合同履行期间,若双方发生争议，可协商或由有关部门调解解决，协商或调解不成的，可提交甲方所在地人民法院诉讼处理。</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十、合同生效及其他</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2.本合同一式伍份，自双方签章之日起起效。甲方肆份，乙方壹份，具有</w:t>
      </w:r>
      <w:bookmarkStart w:id="39" w:name="_GoBack"/>
      <w:bookmarkEnd w:id="39"/>
      <w:r>
        <w:rPr>
          <w:rFonts w:hint="eastAsia" w:ascii="宋体" w:hAnsi="宋体" w:eastAsia="宋体" w:cs="宋体"/>
          <w:spacing w:val="-4"/>
          <w:kern w:val="0"/>
          <w:sz w:val="21"/>
          <w:szCs w:val="21"/>
          <w:highlight w:val="none"/>
          <w:u w:val="none"/>
          <w:lang w:val="en-US" w:eastAsia="zh-CN" w:bidi="ar-SA"/>
        </w:rPr>
        <w:t xml:space="preserve">同等法律效力。 </w:t>
      </w:r>
    </w:p>
    <w:p>
      <w:pPr>
        <w:pStyle w:val="4"/>
        <w:pageBreakBefore w:val="0"/>
        <w:numPr>
          <w:ilvl w:val="0"/>
          <w:numId w:val="0"/>
        </w:numPr>
        <w:tabs>
          <w:tab w:val="left" w:pos="420"/>
          <w:tab w:val="left" w:pos="1440"/>
          <w:tab w:val="clear" w:pos="2045"/>
        </w:tabs>
        <w:kinsoku/>
        <w:wordWrap/>
        <w:overflowPunct/>
        <w:topLinePunct w:val="0"/>
        <w:autoSpaceDE/>
        <w:autoSpaceDN/>
        <w:bidi w:val="0"/>
        <w:snapToGrid w:val="0"/>
        <w:spacing w:before="0" w:after="0" w:line="440" w:lineRule="exact"/>
        <w:ind w:left="470" w:leftChars="224" w:right="-359" w:rightChars="-171" w:firstLine="0" w:firstLineChars="0"/>
        <w:textAlignment w:val="baseline"/>
        <w:rPr>
          <w:rFonts w:hint="eastAsia" w:ascii="宋体" w:hAnsi="宋体" w:eastAsia="宋体" w:cs="宋体"/>
          <w:b/>
          <w:bCs/>
          <w:spacing w:val="-4"/>
          <w:kern w:val="0"/>
          <w:sz w:val="21"/>
          <w:szCs w:val="21"/>
          <w:highlight w:val="none"/>
          <w:u w:val="none"/>
          <w:lang w:val="en-US" w:eastAsia="zh-CN" w:bidi="ar-SA"/>
        </w:rPr>
      </w:pPr>
      <w:r>
        <w:rPr>
          <w:rFonts w:hint="eastAsia" w:ascii="宋体" w:hAnsi="宋体" w:eastAsia="宋体" w:cs="宋体"/>
          <w:b/>
          <w:bCs/>
          <w:spacing w:val="-4"/>
          <w:kern w:val="0"/>
          <w:sz w:val="21"/>
          <w:szCs w:val="21"/>
          <w:highlight w:val="none"/>
          <w:u w:val="none"/>
          <w:lang w:val="en-US" w:eastAsia="zh-CN" w:bidi="ar-SA"/>
        </w:rPr>
        <w:t>十一、合同附件</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u w:val="none"/>
          <w:lang w:val="en-US" w:eastAsia="zh-CN" w:bidi="ar-SA"/>
        </w:rPr>
      </w:pPr>
      <w:r>
        <w:rPr>
          <w:rFonts w:hint="eastAsia" w:ascii="宋体" w:hAnsi="宋体" w:eastAsia="宋体" w:cs="宋体"/>
          <w:spacing w:val="-4"/>
          <w:kern w:val="0"/>
          <w:sz w:val="21"/>
          <w:szCs w:val="21"/>
          <w:highlight w:val="none"/>
          <w:u w:val="none"/>
          <w:lang w:val="en-US" w:eastAsia="zh-CN" w:bidi="ar-SA"/>
        </w:rPr>
        <w:t>廉洁承诺书</w:t>
      </w:r>
    </w:p>
    <w:p>
      <w:pPr>
        <w:pStyle w:val="94"/>
        <w:keepNext w:val="0"/>
        <w:keepLines w:val="0"/>
        <w:pageBreakBefore w:val="0"/>
        <w:wordWrap/>
        <w:overflowPunct/>
        <w:topLinePunct w:val="0"/>
        <w:bidi w:val="0"/>
        <w:spacing w:line="380" w:lineRule="exact"/>
        <w:ind w:firstLine="480" w:firstLineChars="200"/>
        <w:rPr>
          <w:rFonts w:hint="default"/>
          <w:color w:val="auto"/>
          <w:sz w:val="24"/>
          <w:szCs w:val="24"/>
          <w:highlight w:val="none"/>
          <w:lang w:val="en-US" w:eastAsia="zh-CN"/>
        </w:rPr>
      </w:pPr>
    </w:p>
    <w:tbl>
      <w:tblPr>
        <w:tblStyle w:val="28"/>
        <w:tblW w:w="9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4786" w:type="dxa"/>
            <w:noWrap w:val="0"/>
            <w:vAlign w:val="top"/>
          </w:tcPr>
          <w:p>
            <w:pPr>
              <w:spacing w:line="400" w:lineRule="exact"/>
              <w:rPr>
                <w:rFonts w:hint="eastAsia" w:ascii="宋体" w:hAnsi="宋体"/>
                <w:color w:val="auto"/>
                <w:sz w:val="24"/>
              </w:rPr>
            </w:pPr>
            <w:r>
              <w:rPr>
                <w:rFonts w:hint="eastAsia" w:ascii="宋体" w:hAnsi="宋体"/>
                <w:color w:val="auto"/>
                <w:sz w:val="24"/>
              </w:rPr>
              <w:t>甲方：资阳市</w:t>
            </w:r>
            <w:r>
              <w:rPr>
                <w:rFonts w:hint="eastAsia" w:ascii="宋体" w:hAnsi="宋体"/>
                <w:color w:val="auto"/>
                <w:sz w:val="24"/>
                <w:lang w:val="en-US" w:eastAsia="zh-CN"/>
              </w:rPr>
              <w:t>中心</w:t>
            </w:r>
            <w:r>
              <w:rPr>
                <w:rFonts w:hint="eastAsia" w:ascii="宋体" w:hAnsi="宋体"/>
                <w:color w:val="auto"/>
                <w:sz w:val="24"/>
              </w:rPr>
              <w:t>医院（盖章）</w:t>
            </w:r>
          </w:p>
        </w:tc>
        <w:tc>
          <w:tcPr>
            <w:tcW w:w="4536" w:type="dxa"/>
            <w:noWrap w:val="0"/>
            <w:vAlign w:val="top"/>
          </w:tcPr>
          <w:p>
            <w:pPr>
              <w:spacing w:line="400" w:lineRule="exact"/>
              <w:jc w:val="left"/>
              <w:rPr>
                <w:rFonts w:hint="eastAsia" w:ascii="宋体" w:hAnsi="宋体"/>
                <w:color w:val="auto"/>
                <w:sz w:val="24"/>
              </w:rPr>
            </w:pPr>
            <w:r>
              <w:rPr>
                <w:rFonts w:hint="eastAsia" w:ascii="宋体" w:hAnsi="宋体"/>
                <w:color w:val="auto"/>
                <w:sz w:val="24"/>
              </w:rPr>
              <w:t>乙方：</w:t>
            </w:r>
            <w:r>
              <w:rPr>
                <w:rFonts w:hint="eastAsia" w:ascii="宋体" w:hAnsi="宋体"/>
                <w:color w:val="auto"/>
                <w:sz w:val="24"/>
                <w:lang w:val="en-US" w:eastAsia="zh-CN"/>
              </w:rPr>
              <w:t xml:space="preserve">XXXXXXXXXXXXXXXXX </w:t>
            </w:r>
            <w:r>
              <w:rPr>
                <w:rFonts w:hint="eastAsia" w:ascii="宋体" w:hAnsi="宋体"/>
                <w:color w:val="auto"/>
                <w:sz w:val="24"/>
              </w:rPr>
              <w:t>（盖章）</w:t>
            </w:r>
            <w:r>
              <w:rPr>
                <w:rFonts w:hint="eastAsia" w:ascii="宋体" w:hAnsi="宋体"/>
                <w:color w:val="auto"/>
                <w:sz w:val="24"/>
                <w:lang w:val="en-US" w:eastAsia="zh-CN"/>
              </w:rPr>
              <w:t xml:space="preserve">                </w:t>
            </w:r>
          </w:p>
          <w:p>
            <w:pPr>
              <w:spacing w:line="400" w:lineRule="exact"/>
              <w:rPr>
                <w:rFonts w:hint="eastAsia" w:ascii="宋体" w:hAnsi="宋体"/>
                <w:color w:val="auto"/>
                <w:sz w:val="24"/>
                <w:lang w:val="en-US" w:eastAsia="zh-CN"/>
              </w:rPr>
            </w:pPr>
            <w:r>
              <w:rPr>
                <w:rFonts w:hint="eastAsia" w:ascii="宋体" w:hAnsi="宋体"/>
                <w:color w:val="auto"/>
                <w:sz w:val="24"/>
              </w:rPr>
              <w:t xml:space="preserve">   </w:t>
            </w:r>
            <w:r>
              <w:rPr>
                <w:rFonts w:hint="eastAsia" w:ascii="宋体" w:hAnsi="宋体"/>
                <w:color w:val="auto"/>
                <w:sz w:val="24"/>
                <w:lang w:val="en-US" w:eastAsia="zh-CN"/>
              </w:rPr>
              <w:t xml:space="preserve"> </w:t>
            </w:r>
          </w:p>
          <w:p>
            <w:pPr>
              <w:pStyle w:val="2"/>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jc w:val="center"/>
        </w:trPr>
        <w:tc>
          <w:tcPr>
            <w:tcW w:w="4786" w:type="dxa"/>
            <w:noWrap w:val="0"/>
            <w:vAlign w:val="top"/>
          </w:tcPr>
          <w:p>
            <w:pPr>
              <w:spacing w:line="400" w:lineRule="exact"/>
              <w:rPr>
                <w:rFonts w:hint="eastAsia" w:ascii="宋体" w:hAnsi="宋体"/>
                <w:color w:val="auto"/>
                <w:sz w:val="24"/>
              </w:rPr>
            </w:pPr>
            <w:r>
              <w:rPr>
                <w:rFonts w:hint="eastAsia" w:ascii="宋体" w:hAnsi="宋体"/>
                <w:color w:val="auto"/>
                <w:sz w:val="24"/>
              </w:rPr>
              <w:t>法定代表人（授权代表）：</w:t>
            </w:r>
          </w:p>
        </w:tc>
        <w:tc>
          <w:tcPr>
            <w:tcW w:w="4536" w:type="dxa"/>
            <w:noWrap w:val="0"/>
            <w:vAlign w:val="top"/>
          </w:tcPr>
          <w:p>
            <w:pPr>
              <w:spacing w:line="400" w:lineRule="exact"/>
              <w:rPr>
                <w:rFonts w:hint="eastAsia" w:ascii="宋体" w:hAnsi="宋体"/>
                <w:color w:val="auto"/>
                <w:sz w:val="24"/>
              </w:rPr>
            </w:pPr>
            <w:r>
              <w:rPr>
                <w:rFonts w:hint="eastAsia" w:ascii="宋体" w:hAnsi="宋体"/>
                <w:color w:val="auto"/>
                <w:sz w:val="24"/>
              </w:rPr>
              <w:t>法定代表人（授权代表）：</w:t>
            </w:r>
          </w:p>
          <w:p>
            <w:pPr>
              <w:spacing w:line="400" w:lineRule="exact"/>
              <w:rPr>
                <w:rFonts w:hint="eastAsia"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86" w:type="dxa"/>
            <w:noWrap w:val="0"/>
            <w:vAlign w:val="top"/>
          </w:tcPr>
          <w:p>
            <w:pPr>
              <w:spacing w:line="400" w:lineRule="exact"/>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p>
        </w:tc>
        <w:tc>
          <w:tcPr>
            <w:tcW w:w="4536" w:type="dxa"/>
            <w:noWrap w:val="0"/>
            <w:vAlign w:val="top"/>
          </w:tcPr>
          <w:p>
            <w:pPr>
              <w:spacing w:line="400" w:lineRule="exact"/>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86" w:type="dxa"/>
            <w:noWrap w:val="0"/>
            <w:vAlign w:val="top"/>
          </w:tcPr>
          <w:p>
            <w:pPr>
              <w:spacing w:line="400" w:lineRule="exact"/>
              <w:rPr>
                <w:rFonts w:hint="eastAsia" w:ascii="宋体" w:hAnsi="宋体"/>
                <w:sz w:val="24"/>
              </w:rPr>
            </w:pPr>
            <w:r>
              <w:rPr>
                <w:rFonts w:hint="eastAsia" w:ascii="宋体" w:hAnsi="宋体"/>
                <w:color w:val="auto"/>
                <w:sz w:val="24"/>
              </w:rPr>
              <w:t xml:space="preserve">签约日期：     年    </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日</w:t>
            </w:r>
          </w:p>
        </w:tc>
        <w:tc>
          <w:tcPr>
            <w:tcW w:w="4536" w:type="dxa"/>
            <w:noWrap w:val="0"/>
            <w:vAlign w:val="top"/>
          </w:tcPr>
          <w:p>
            <w:pPr>
              <w:spacing w:line="400" w:lineRule="exact"/>
              <w:rPr>
                <w:rFonts w:hint="eastAsia" w:ascii="宋体" w:hAnsi="宋体"/>
                <w:sz w:val="24"/>
              </w:rPr>
            </w:pPr>
            <w:r>
              <w:rPr>
                <w:rFonts w:hint="eastAsia" w:ascii="宋体" w:hAnsi="宋体"/>
                <w:sz w:val="24"/>
              </w:rPr>
              <w:t>签约日期：</w:t>
            </w:r>
            <w:r>
              <w:rPr>
                <w:rFonts w:hint="eastAsia" w:ascii="宋体" w:hAnsi="宋体"/>
                <w:color w:val="000000"/>
                <w:sz w:val="24"/>
              </w:rPr>
              <w:t xml:space="preserve">     </w:t>
            </w:r>
            <w:r>
              <w:rPr>
                <w:rFonts w:hint="eastAsia" w:ascii="宋体" w:hAnsi="宋体"/>
                <w:sz w:val="24"/>
              </w:rPr>
              <w:t>年</w:t>
            </w:r>
            <w:r>
              <w:rPr>
                <w:rFonts w:hint="eastAsia" w:ascii="宋体" w:hAnsi="宋体"/>
                <w:color w:val="000000"/>
                <w:sz w:val="24"/>
              </w:rPr>
              <w:t xml:space="preserve">     </w:t>
            </w:r>
            <w:r>
              <w:rPr>
                <w:rFonts w:hint="eastAsia" w:ascii="宋体" w:hAnsi="宋体"/>
                <w:sz w:val="24"/>
              </w:rPr>
              <w:t xml:space="preserve">月 </w:t>
            </w:r>
            <w:r>
              <w:rPr>
                <w:rFonts w:hint="eastAsia" w:ascii="宋体" w:hAnsi="宋体"/>
                <w:color w:val="000000"/>
                <w:sz w:val="24"/>
              </w:rPr>
              <w:t xml:space="preserve">    日</w:t>
            </w:r>
          </w:p>
        </w:tc>
      </w:tr>
    </w:tbl>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资阳市中心医院医保接口数据加工处理服务采购项目</w:t>
      </w:r>
      <w:r>
        <w:rPr>
          <w:rFonts w:hint="eastAsia" w:ascii="宋体" w:hAnsi="宋体" w:cs="宋体"/>
          <w:spacing w:val="-4"/>
          <w:highlight w:val="none"/>
        </w:rPr>
        <w:t>。本项目最高限价</w:t>
      </w:r>
      <w:r>
        <w:rPr>
          <w:rFonts w:hint="eastAsia" w:ascii="宋体" w:hAnsi="宋体" w:cs="宋体"/>
          <w:i w:val="0"/>
          <w:iCs w:val="0"/>
          <w:color w:val="000000"/>
          <w:kern w:val="0"/>
          <w:sz w:val="22"/>
          <w:szCs w:val="22"/>
          <w:highlight w:val="none"/>
          <w:u w:val="none"/>
          <w:lang w:val="en-US" w:eastAsia="zh-CN" w:bidi="ar"/>
        </w:rPr>
        <w:t>8.7</w:t>
      </w:r>
      <w:r>
        <w:rPr>
          <w:rFonts w:hint="eastAsia" w:ascii="宋体" w:hAnsi="宋体" w:cs="宋体"/>
          <w:spacing w:val="-4"/>
          <w:highlight w:val="none"/>
          <w:lang w:val="en-US" w:eastAsia="zh-CN"/>
        </w:rPr>
        <w:t>万元</w:t>
      </w:r>
      <w:r>
        <w:rPr>
          <w:rFonts w:hint="eastAsia" w:ascii="宋体" w:hAnsi="宋体" w:cs="宋体"/>
          <w:spacing w:val="-4"/>
          <w:highlight w:val="none"/>
        </w:rPr>
        <w:t>。</w:t>
      </w:r>
      <w:r>
        <w:rPr>
          <w:rFonts w:hint="eastAsia" w:ascii="宋体" w:hAnsi="宋体" w:cs="宋体"/>
          <w:spacing w:val="-4"/>
          <w:highlight w:val="none"/>
          <w:lang w:val="en-US" w:eastAsia="zh-CN"/>
        </w:rPr>
        <w:t>单价限价详见采购清单。</w:t>
      </w:r>
    </w:p>
    <w:p>
      <w:pPr>
        <w:spacing w:after="156" w:afterLines="50" w:line="420" w:lineRule="exact"/>
        <w:ind w:firstLine="420" w:firstLineChars="200"/>
        <w:rPr>
          <w:rFonts w:hint="default" w:hAnsi="宋体" w:eastAsia="宋体"/>
          <w:kern w:val="0"/>
          <w:highlight w:val="none"/>
          <w:lang w:val="en-US" w:eastAsia="zh-CN"/>
        </w:rPr>
      </w:pPr>
      <w:r>
        <w:rPr>
          <w:rFonts w:hint="eastAsia" w:hAnsi="宋体"/>
          <w:kern w:val="0"/>
          <w:highlight w:val="none"/>
          <w:lang w:val="en-US" w:eastAsia="zh-CN"/>
        </w:rPr>
        <w:t>采购清单</w:t>
      </w:r>
    </w:p>
    <w:tbl>
      <w:tblPr>
        <w:tblStyle w:val="28"/>
        <w:tblW w:w="8839" w:type="dxa"/>
        <w:tblInd w:w="93" w:type="dxa"/>
        <w:tblLayout w:type="fixed"/>
        <w:tblCellMar>
          <w:top w:w="0" w:type="dxa"/>
          <w:left w:w="108" w:type="dxa"/>
          <w:bottom w:w="0" w:type="dxa"/>
          <w:right w:w="108" w:type="dxa"/>
        </w:tblCellMar>
      </w:tblPr>
      <w:tblGrid>
        <w:gridCol w:w="1462"/>
        <w:gridCol w:w="2268"/>
        <w:gridCol w:w="1134"/>
        <w:gridCol w:w="1275"/>
        <w:gridCol w:w="2700"/>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bidi="ar"/>
              </w:rPr>
            </w:pPr>
            <w:r>
              <w:rPr>
                <w:rFonts w:hint="eastAsia" w:ascii="宋体" w:hAnsi="宋体" w:cs="宋体"/>
                <w:spacing w:val="-4"/>
                <w:highlight w:val="none"/>
                <w:lang w:eastAsia="zh-CN"/>
              </w:rPr>
              <w:t>资阳市中心医院医保接口数据加工处理服务采购项目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87000元/</w:t>
            </w:r>
            <w:r>
              <w:rPr>
                <w:rFonts w:hint="eastAsia" w:ascii="宋体" w:hAnsi="宋体" w:eastAsia="宋体" w:cs="宋体"/>
                <w:color w:val="5B5852"/>
                <w:kern w:val="0"/>
                <w:sz w:val="24"/>
                <w:szCs w:val="24"/>
                <w:lang w:val="en-US" w:eastAsia="zh-CN"/>
              </w:rPr>
              <w:t>（服务期三年）</w:t>
            </w:r>
          </w:p>
        </w:tc>
      </w:tr>
    </w:tbl>
    <w:p>
      <w:pPr>
        <w:pStyle w:val="15"/>
        <w:rPr>
          <w:highlight w:val="none"/>
        </w:rPr>
      </w:pP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1．服务期限及地点</w:t>
      </w:r>
    </w:p>
    <w:p>
      <w:pPr>
        <w:spacing w:line="520" w:lineRule="exact"/>
        <w:rPr>
          <w:rFonts w:hint="default" w:ascii="宋体" w:hAnsi="宋体"/>
          <w:b/>
          <w:highlight w:val="none"/>
          <w:lang w:val="en-US" w:eastAsia="zh-CN"/>
        </w:rPr>
      </w:pPr>
      <w:r>
        <w:rPr>
          <w:rFonts w:hint="eastAsia" w:ascii="宋体" w:hAnsi="宋体"/>
          <w:b/>
          <w:highlight w:val="none"/>
          <w:lang w:val="en-US" w:eastAsia="zh-CN"/>
        </w:rPr>
        <w:t>1.1服务期限：三年，2024年11月10日到2027年11月9日</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1.2 服务地点：资阳市中心医院。</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2.1.</w:t>
      </w:r>
      <w:r>
        <w:rPr>
          <w:rFonts w:hint="eastAsia" w:ascii="宋体" w:hAnsi="宋体" w:cs="宋体"/>
          <w:spacing w:val="-4"/>
          <w:kern w:val="0"/>
          <w:sz w:val="21"/>
          <w:szCs w:val="21"/>
          <w:highlight w:val="none"/>
          <w:lang w:val="en-US" w:eastAsia="zh-CN" w:bidi="ar-SA"/>
        </w:rPr>
        <w:t>每年支付一次当年的服务费：</w:t>
      </w:r>
      <w:r>
        <w:rPr>
          <w:rFonts w:hint="eastAsia" w:ascii="宋体" w:hAnsi="宋体" w:eastAsia="宋体" w:cs="宋体"/>
          <w:spacing w:val="-4"/>
          <w:kern w:val="0"/>
          <w:sz w:val="21"/>
          <w:szCs w:val="21"/>
          <w:highlight w:val="none"/>
          <w:lang w:val="en-US" w:eastAsia="zh-CN" w:bidi="ar-SA"/>
        </w:rPr>
        <w:t>合同签订后或</w:t>
      </w:r>
      <w:r>
        <w:rPr>
          <w:rFonts w:hint="eastAsia" w:ascii="宋体" w:hAnsi="宋体" w:cs="宋体"/>
          <w:spacing w:val="-4"/>
          <w:kern w:val="0"/>
          <w:sz w:val="21"/>
          <w:szCs w:val="21"/>
          <w:highlight w:val="none"/>
          <w:lang w:val="en-US" w:eastAsia="zh-CN" w:bidi="ar-SA"/>
        </w:rPr>
        <w:t>后续服务合同</w:t>
      </w:r>
      <w:r>
        <w:rPr>
          <w:rFonts w:hint="eastAsia" w:ascii="宋体" w:hAnsi="宋体" w:eastAsia="宋体" w:cs="宋体"/>
          <w:spacing w:val="-4"/>
          <w:kern w:val="0"/>
          <w:sz w:val="21"/>
          <w:szCs w:val="21"/>
          <w:highlight w:val="none"/>
          <w:lang w:val="en-US" w:eastAsia="zh-CN" w:bidi="ar-SA"/>
        </w:rPr>
        <w:t>年开始后30个工作日内，支付合同总金额</w:t>
      </w:r>
      <w:r>
        <w:rPr>
          <w:rFonts w:hint="eastAsia" w:ascii="宋体" w:hAnsi="宋体" w:cs="宋体"/>
          <w:spacing w:val="-4"/>
          <w:kern w:val="0"/>
          <w:sz w:val="21"/>
          <w:szCs w:val="21"/>
          <w:highlight w:val="none"/>
          <w:lang w:val="en-US" w:eastAsia="zh-CN" w:bidi="ar-SA"/>
        </w:rPr>
        <w:t>的三分之一（即当年服务费）</w:t>
      </w:r>
      <w:r>
        <w:rPr>
          <w:rFonts w:hint="eastAsia" w:ascii="宋体" w:hAnsi="宋体" w:eastAsia="宋体" w:cs="宋体"/>
          <w:spacing w:val="-4"/>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2.2.乙方向甲方出具</w:t>
      </w:r>
      <w:r>
        <w:rPr>
          <w:rFonts w:hint="eastAsia" w:ascii="宋体" w:hAnsi="宋体" w:cs="宋体"/>
          <w:spacing w:val="-4"/>
          <w:kern w:val="0"/>
          <w:sz w:val="21"/>
          <w:szCs w:val="21"/>
          <w:highlight w:val="none"/>
          <w:lang w:val="en-US" w:eastAsia="zh-CN" w:bidi="ar-SA"/>
        </w:rPr>
        <w:t>相应金额的</w:t>
      </w:r>
      <w:r>
        <w:rPr>
          <w:rFonts w:hint="eastAsia" w:ascii="宋体" w:hAnsi="宋体" w:eastAsia="宋体" w:cs="宋体"/>
          <w:spacing w:val="-4"/>
          <w:kern w:val="0"/>
          <w:sz w:val="21"/>
          <w:szCs w:val="21"/>
          <w:highlight w:val="none"/>
          <w:lang w:val="en-US" w:eastAsia="zh-CN" w:bidi="ar-SA"/>
        </w:rPr>
        <w:t>合法有效完整的完税发票及凭证资料</w:t>
      </w:r>
      <w:r>
        <w:rPr>
          <w:rFonts w:hint="eastAsia" w:ascii="宋体" w:hAnsi="宋体" w:cs="宋体"/>
          <w:spacing w:val="-4"/>
          <w:kern w:val="0"/>
          <w:sz w:val="21"/>
          <w:szCs w:val="21"/>
          <w:highlight w:val="none"/>
          <w:lang w:val="en-US" w:eastAsia="zh-CN" w:bidi="ar-SA"/>
        </w:rPr>
        <w:t>后，</w:t>
      </w:r>
      <w:r>
        <w:rPr>
          <w:rFonts w:hint="eastAsia" w:ascii="宋体" w:hAnsi="宋体" w:eastAsia="宋体" w:cs="宋体"/>
          <w:spacing w:val="-4"/>
          <w:kern w:val="0"/>
          <w:sz w:val="21"/>
          <w:szCs w:val="21"/>
          <w:highlight w:val="none"/>
          <w:lang w:val="en-US" w:eastAsia="zh-CN" w:bidi="ar-SA"/>
        </w:rPr>
        <w:t>甲方方进行支付结算。</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协助采购人医保数据接口数据加工处理</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p>
    <w:p>
      <w:pPr>
        <w:pStyle w:val="4"/>
        <w:numPr>
          <w:ilvl w:val="0"/>
          <w:numId w:val="0"/>
        </w:numPr>
        <w:spacing w:before="0" w:after="0" w:line="336" w:lineRule="auto"/>
        <w:jc w:val="left"/>
        <w:rPr>
          <w:highlight w:val="none"/>
        </w:rPr>
      </w:pPr>
      <w:r>
        <w:rPr>
          <w:rFonts w:hint="eastAsia"/>
          <w:highlight w:val="none"/>
        </w:rPr>
        <w:t>★三、</w:t>
      </w:r>
      <w:r>
        <w:rPr>
          <w:rFonts w:hint="eastAsia" w:hAnsi="宋体"/>
          <w:kern w:val="0"/>
          <w:highlight w:val="none"/>
          <w:lang w:val="en-US" w:eastAsia="zh-CN"/>
        </w:rPr>
        <w:t>技术</w:t>
      </w:r>
      <w:r>
        <w:rPr>
          <w:rFonts w:hint="eastAsia" w:hAnsi="宋体"/>
          <w:kern w:val="0"/>
          <w:highlight w:val="none"/>
        </w:rPr>
        <w:t>要求</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1.提供采购人医保业务历史数据的查对、根据医保政策的调整，对医保接口的升级配合联调（但不含程序的框架调整及业务模式的改变）。</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2.提供医保接口的业务咨询、协助排查由于his系统故障所导致的医保接口业务故障。</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3.协助排查由于硬件故障所导致的医保接口业务故障。</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4.协助查网络故障所导致的医保接口业务故障。</w:t>
      </w:r>
      <w:r>
        <w:rPr>
          <w:rFonts w:hint="eastAsia"/>
          <w:lang w:val="en-US" w:eastAsia="zh-CN"/>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9" w:name="_Toc173895846"/>
      <w:bookmarkStart w:id="30" w:name="_Toc173895658"/>
      <w:bookmarkStart w:id="31" w:name="_Toc180296788"/>
      <w:bookmarkStart w:id="32"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29"/>
      <w:bookmarkEnd w:id="30"/>
      <w:bookmarkEnd w:id="31"/>
      <w:r>
        <w:rPr>
          <w:rFonts w:hint="eastAsia" w:ascii="宋体" w:hAnsi="宋体" w:cs="宋体"/>
          <w:b/>
          <w:bCs/>
          <w:kern w:val="44"/>
          <w:sz w:val="32"/>
          <w:szCs w:val="32"/>
          <w:highlight w:val="none"/>
        </w:rPr>
        <w:t>及要求</w:t>
      </w:r>
      <w:bookmarkEnd w:id="32"/>
      <w:bookmarkStart w:id="33" w:name="_Toc180296789"/>
      <w:bookmarkStart w:id="34" w:name="_Toc211679186"/>
      <w:bookmarkStart w:id="35" w:name="_Toc173895847"/>
      <w:bookmarkStart w:id="36" w:name="_Toc173895659"/>
    </w:p>
    <w:p>
      <w:pPr>
        <w:pStyle w:val="15"/>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single"/>
        </w:rPr>
        <w:t>（加盖公章</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6"/>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7"/>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7"/>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7"/>
        <w:spacing w:line="360" w:lineRule="auto"/>
        <w:ind w:firstLine="420" w:firstLineChars="200"/>
        <w:rPr>
          <w:rFonts w:hAnsi="宋体" w:cs="Times New Roman"/>
          <w:kern w:val="0"/>
          <w:highlight w:val="none"/>
        </w:rPr>
      </w:pPr>
    </w:p>
    <w:p>
      <w:pPr>
        <w:pStyle w:val="17"/>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15"/>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15"/>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spacing w:line="360" w:lineRule="auto"/>
        <w:ind w:firstLine="420" w:firstLineChars="200"/>
        <w:jc w:val="left"/>
        <w:rPr>
          <w:rFonts w:hint="eastAsia" w:ascii="宋体" w:hAnsi="宋体"/>
          <w:kern w:val="0"/>
          <w:highlight w:val="none"/>
        </w:rPr>
      </w:pPr>
    </w:p>
    <w:tbl>
      <w:tblPr>
        <w:tblStyle w:val="28"/>
        <w:tblW w:w="8839" w:type="dxa"/>
        <w:tblInd w:w="93" w:type="dxa"/>
        <w:tblLayout w:type="fixed"/>
        <w:tblCellMar>
          <w:top w:w="0" w:type="dxa"/>
          <w:left w:w="108" w:type="dxa"/>
          <w:bottom w:w="0" w:type="dxa"/>
          <w:right w:w="108" w:type="dxa"/>
        </w:tblCellMar>
      </w:tblPr>
      <w:tblGrid>
        <w:gridCol w:w="1462"/>
        <w:gridCol w:w="2268"/>
        <w:gridCol w:w="1134"/>
        <w:gridCol w:w="1275"/>
        <w:gridCol w:w="2700"/>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val="en-US" w:eastAsia="zh-CN" w:bidi="ar"/>
              </w:rPr>
              <w:t>报价</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（服务期三年）</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bidi="ar"/>
              </w:rPr>
            </w:pPr>
            <w:r>
              <w:rPr>
                <w:rFonts w:hint="eastAsia" w:ascii="宋体" w:hAnsi="宋体" w:cs="宋体"/>
                <w:spacing w:val="-4"/>
                <w:highlight w:val="none"/>
                <w:lang w:eastAsia="zh-CN"/>
              </w:rPr>
              <w:t>资阳市中心医院医保接口数据加工处理服务采购项目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 xml:space="preserve">                 元/（服务期三年）</w:t>
            </w:r>
          </w:p>
        </w:tc>
      </w:tr>
    </w:tbl>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left="246" w:hanging="245" w:hangingChars="117"/>
        <w:jc w:val="left"/>
        <w:rPr>
          <w:rFonts w:ascii="宋体"/>
          <w:kern w:val="0"/>
          <w:highlight w:val="none"/>
        </w:rPr>
      </w:pPr>
    </w:p>
    <w:p>
      <w:pPr>
        <w:spacing w:line="360" w:lineRule="auto"/>
        <w:ind w:left="246" w:hanging="245" w:hangingChars="117"/>
        <w:jc w:val="left"/>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4"/>
        <w:numPr>
          <w:ilvl w:val="0"/>
          <w:numId w:val="0"/>
        </w:numPr>
        <w:spacing w:before="0" w:after="0" w:line="360" w:lineRule="auto"/>
        <w:jc w:val="center"/>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7"/>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6"/>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6"/>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6"/>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6"/>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6"/>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7"/>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7"/>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7"/>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7"/>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7"/>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7"/>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7"/>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7"/>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w:t>
      </w:r>
      <w:r>
        <w:rPr>
          <w:rFonts w:hint="eastAsia" w:cs="仿宋_GB2312" w:asciiTheme="minorEastAsia" w:hAnsiTheme="minorEastAsia" w:eastAsiaTheme="minorEastAsia"/>
          <w:color w:val="000000"/>
          <w:sz w:val="24"/>
          <w:szCs w:val="24"/>
          <w:highlight w:val="none"/>
          <w:shd w:val="clear" w:color="auto" w:fill="FFFFFF"/>
        </w:rPr>
        <w:t>，结合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15"/>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cs="仿宋_GB2312" w:asciiTheme="minorEastAsia" w:hAnsiTheme="minorEastAsia" w:eastAsiaTheme="minorEastAsia"/>
          <w:color w:val="000000"/>
          <w:sz w:val="24"/>
          <w:szCs w:val="24"/>
          <w:highlight w:val="none"/>
          <w:shd w:val="clear" w:color="auto" w:fill="FFFFFF"/>
        </w:rPr>
        <w:t>（盖章）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center"/>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lang w:val="en-US" w:eastAsia="zh-CN"/>
        </w:rPr>
        <w:t>日期</w:t>
      </w:r>
      <w:r>
        <w:rPr>
          <w:rFonts w:hint="eastAsia" w:cs="仿宋_GB2312" w:asciiTheme="minorEastAsia" w:hAnsiTheme="minorEastAsia" w:eastAsiaTheme="minorEastAsia"/>
          <w:color w:val="000000"/>
          <w:sz w:val="24"/>
          <w:szCs w:val="24"/>
          <w:highlight w:val="none"/>
          <w:shd w:val="clear" w:color="auto" w:fill="FFFFFF"/>
        </w:rPr>
        <w:t>：</w:t>
      </w:r>
      <w:r>
        <w:rPr>
          <w:rFonts w:hint="eastAsia" w:cs="仿宋_GB2312" w:asciiTheme="minorEastAsia" w:hAnsiTheme="minorEastAsia" w:eastAsiaTheme="minorEastAsia"/>
          <w:color w:val="000000"/>
          <w:sz w:val="24"/>
          <w:szCs w:val="24"/>
          <w:highlight w:val="none"/>
          <w:shd w:val="clear" w:color="auto" w:fill="FFFFFF"/>
          <w:lang w:val="en-US" w:eastAsia="zh-CN"/>
        </w:rPr>
        <w:t xml:space="preserve">      </w:t>
      </w:r>
      <w:r>
        <w:rPr>
          <w:rFonts w:hint="eastAsia" w:cs="仿宋_GB2312" w:asciiTheme="minorEastAsia" w:hAnsiTheme="minorEastAsia" w:eastAsiaTheme="minorEastAsia"/>
          <w:color w:val="000000"/>
          <w:sz w:val="24"/>
          <w:szCs w:val="24"/>
          <w:highlight w:val="none"/>
          <w:shd w:val="clear" w:color="auto" w:fill="FFFFFF"/>
        </w:rPr>
        <w:t>年   月   日</w:t>
      </w:r>
    </w:p>
    <w:p>
      <w:pPr>
        <w:pStyle w:val="15"/>
        <w:rPr>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3"/>
    <w:bookmarkEnd w:id="34"/>
    <w:bookmarkEnd w:id="35"/>
    <w:bookmarkEnd w:id="36"/>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37" w:name="_Toc361252259"/>
      <w:bookmarkStart w:id="38"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ind w:firstLine="420" w:firstLineChars="200"/>
        <w:jc w:val="left"/>
        <w:rPr>
          <w:rFonts w:hint="eastAsia" w:ascii="宋体" w:hAnsi="宋体"/>
          <w:kern w:val="0"/>
          <w:highlight w:val="none"/>
        </w:rPr>
      </w:pPr>
    </w:p>
    <w:tbl>
      <w:tblPr>
        <w:tblStyle w:val="28"/>
        <w:tblW w:w="8839" w:type="dxa"/>
        <w:tblInd w:w="93" w:type="dxa"/>
        <w:tblLayout w:type="fixed"/>
        <w:tblCellMar>
          <w:top w:w="0" w:type="dxa"/>
          <w:left w:w="108" w:type="dxa"/>
          <w:bottom w:w="0" w:type="dxa"/>
          <w:right w:w="108" w:type="dxa"/>
        </w:tblCellMar>
      </w:tblPr>
      <w:tblGrid>
        <w:gridCol w:w="1462"/>
        <w:gridCol w:w="2268"/>
        <w:gridCol w:w="1134"/>
        <w:gridCol w:w="1275"/>
        <w:gridCol w:w="2700"/>
      </w:tblGrid>
      <w:tr>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val="en-US" w:eastAsia="zh-CN" w:bidi="ar"/>
              </w:rPr>
              <w:t>报价</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（服务期三年）</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bidi="ar"/>
              </w:rPr>
            </w:pPr>
            <w:r>
              <w:rPr>
                <w:rFonts w:hint="eastAsia" w:ascii="宋体" w:hAnsi="宋体" w:cs="宋体"/>
                <w:spacing w:val="-4"/>
                <w:highlight w:val="none"/>
                <w:lang w:eastAsia="zh-CN"/>
              </w:rPr>
              <w:t>资阳市中心医院医保接口数据加工处理服务采购项目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 xml:space="preserve">                 元/（服务期三年）</w:t>
            </w:r>
          </w:p>
        </w:tc>
      </w:tr>
    </w:tbl>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7"/>
      <w:bookmarkEnd w:id="38"/>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pgBorders>
        <w:top w:val="none" w:sz="0" w:space="0"/>
        <w:left w:val="none" w:sz="0" w:space="0"/>
        <w:bottom w:val="none" w:sz="0" w:space="0"/>
        <w:right w:val="none" w:sz="0" w:space="0"/>
      </w:pgBorders>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4004FE"/>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05D84"/>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90801"/>
    <w:rsid w:val="1CD13A03"/>
    <w:rsid w:val="1D10139C"/>
    <w:rsid w:val="1D1502E7"/>
    <w:rsid w:val="1D2527CE"/>
    <w:rsid w:val="1D5A3F0B"/>
    <w:rsid w:val="1D8B67FB"/>
    <w:rsid w:val="1D951428"/>
    <w:rsid w:val="1DA43419"/>
    <w:rsid w:val="1E2C3B3A"/>
    <w:rsid w:val="1E5D1F46"/>
    <w:rsid w:val="1E897DA0"/>
    <w:rsid w:val="1EF53F2C"/>
    <w:rsid w:val="1F3434E0"/>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4652AE"/>
    <w:rsid w:val="216F4EC7"/>
    <w:rsid w:val="21815B54"/>
    <w:rsid w:val="219E6AFD"/>
    <w:rsid w:val="21AF0D0A"/>
    <w:rsid w:val="21C54695"/>
    <w:rsid w:val="21F33562"/>
    <w:rsid w:val="21FE134A"/>
    <w:rsid w:val="220B59C1"/>
    <w:rsid w:val="221A4CD6"/>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E64551"/>
    <w:rsid w:val="28F22A1C"/>
    <w:rsid w:val="29041902"/>
    <w:rsid w:val="29135897"/>
    <w:rsid w:val="29A0718A"/>
    <w:rsid w:val="29A507F5"/>
    <w:rsid w:val="29CF3EFD"/>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CF0135"/>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60EE6"/>
    <w:rsid w:val="314F4955"/>
    <w:rsid w:val="317226E8"/>
    <w:rsid w:val="31AA504A"/>
    <w:rsid w:val="31CB3B06"/>
    <w:rsid w:val="31D16A7B"/>
    <w:rsid w:val="31EF6F01"/>
    <w:rsid w:val="31F167D5"/>
    <w:rsid w:val="322936D7"/>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C49A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2E38E0"/>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035C1"/>
    <w:rsid w:val="45682C72"/>
    <w:rsid w:val="458D460F"/>
    <w:rsid w:val="45961716"/>
    <w:rsid w:val="45A32084"/>
    <w:rsid w:val="45A656D1"/>
    <w:rsid w:val="45E5392F"/>
    <w:rsid w:val="45FA6AFD"/>
    <w:rsid w:val="460D74FE"/>
    <w:rsid w:val="46274A64"/>
    <w:rsid w:val="46317690"/>
    <w:rsid w:val="463F246A"/>
    <w:rsid w:val="46661252"/>
    <w:rsid w:val="469A6FE4"/>
    <w:rsid w:val="46A2233C"/>
    <w:rsid w:val="47044E98"/>
    <w:rsid w:val="470C6DF8"/>
    <w:rsid w:val="475D4B1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B867B8"/>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4E5B2E"/>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D34740"/>
    <w:rsid w:val="58F76517"/>
    <w:rsid w:val="590D1897"/>
    <w:rsid w:val="59343F0C"/>
    <w:rsid w:val="59554FEC"/>
    <w:rsid w:val="597146D3"/>
    <w:rsid w:val="598361E9"/>
    <w:rsid w:val="59B91A1F"/>
    <w:rsid w:val="59C26B25"/>
    <w:rsid w:val="59C77C98"/>
    <w:rsid w:val="59E41579"/>
    <w:rsid w:val="5A2F1CE1"/>
    <w:rsid w:val="5AE12FDB"/>
    <w:rsid w:val="5B3277D6"/>
    <w:rsid w:val="5B343B74"/>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A73FC"/>
    <w:rsid w:val="5D2B2C34"/>
    <w:rsid w:val="5D543F38"/>
    <w:rsid w:val="5D7B268C"/>
    <w:rsid w:val="5DD15589"/>
    <w:rsid w:val="5DE441BA"/>
    <w:rsid w:val="5E08721E"/>
    <w:rsid w:val="5E4C4C10"/>
    <w:rsid w:val="5EAE319D"/>
    <w:rsid w:val="5EC7698C"/>
    <w:rsid w:val="5F820D70"/>
    <w:rsid w:val="5F8403D9"/>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DE21BD"/>
    <w:rsid w:val="60E81AAA"/>
    <w:rsid w:val="61045C75"/>
    <w:rsid w:val="616A72E2"/>
    <w:rsid w:val="61EE4FF2"/>
    <w:rsid w:val="622A51D8"/>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333A39"/>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24666"/>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40796"/>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4F7B0A"/>
    <w:rsid w:val="7A80622F"/>
    <w:rsid w:val="7A861051"/>
    <w:rsid w:val="7A922BEB"/>
    <w:rsid w:val="7B076EE3"/>
    <w:rsid w:val="7B1B5C3E"/>
    <w:rsid w:val="7B226FCC"/>
    <w:rsid w:val="7B2F0499"/>
    <w:rsid w:val="7B4056A4"/>
    <w:rsid w:val="7B4C4049"/>
    <w:rsid w:val="7BEE565F"/>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C618A1"/>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w:basedOn w:val="1"/>
    <w:next w:val="1"/>
    <w:link w:val="41"/>
    <w:qFormat/>
    <w:uiPriority w:val="99"/>
    <w:pPr>
      <w:spacing w:after="120"/>
    </w:pPr>
  </w:style>
  <w:style w:type="paragraph" w:styleId="16">
    <w:name w:val="Body Text Indent"/>
    <w:basedOn w:val="1"/>
    <w:link w:val="42"/>
    <w:qFormat/>
    <w:uiPriority w:val="99"/>
    <w:pPr>
      <w:spacing w:after="120"/>
      <w:ind w:left="420" w:leftChars="200"/>
    </w:pPr>
  </w:style>
  <w:style w:type="paragraph" w:styleId="17">
    <w:name w:val="Plain Text"/>
    <w:basedOn w:val="1"/>
    <w:link w:val="43"/>
    <w:qFormat/>
    <w:uiPriority w:val="0"/>
    <w:rPr>
      <w:rFonts w:ascii="宋体" w:hAnsi="Courier New" w:cs="宋体"/>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15"/>
    <w:qFormat/>
    <w:locked/>
    <w:uiPriority w:val="99"/>
    <w:rPr>
      <w:kern w:val="2"/>
      <w:sz w:val="24"/>
      <w:szCs w:val="24"/>
    </w:rPr>
  </w:style>
  <w:style w:type="character" w:customStyle="1" w:styleId="42">
    <w:name w:val="正文文本缩进 Char"/>
    <w:link w:val="16"/>
    <w:qFormat/>
    <w:locked/>
    <w:uiPriority w:val="99"/>
    <w:rPr>
      <w:kern w:val="2"/>
      <w:sz w:val="24"/>
      <w:szCs w:val="24"/>
    </w:rPr>
  </w:style>
  <w:style w:type="character" w:customStyle="1" w:styleId="43">
    <w:name w:val="纯文本 Char"/>
    <w:link w:val="17"/>
    <w:qFormat/>
    <w:locked/>
    <w:uiPriority w:val="0"/>
    <w:rPr>
      <w:rFonts w:ascii="宋体" w:hAnsi="Courier New" w:cs="宋体"/>
      <w:kern w:val="2"/>
      <w:sz w:val="21"/>
      <w:szCs w:val="21"/>
    </w:rPr>
  </w:style>
  <w:style w:type="character" w:customStyle="1" w:styleId="44">
    <w:name w:val="日期 Char"/>
    <w:link w:val="18"/>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rPr>
  </w:style>
  <w:style w:type="paragraph" w:customStyle="1" w:styleId="9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BodyText"/>
    <w:basedOn w:val="1"/>
    <w:next w:val="1"/>
    <w:qFormat/>
    <w:uiPriority w:val="0"/>
    <w:pPr>
      <w:tabs>
        <w:tab w:val="left" w:pos="7665"/>
      </w:tabs>
      <w:spacing w:after="120"/>
      <w:textAlignment w:val="baseline"/>
    </w:pPr>
  </w:style>
  <w:style w:type="paragraph" w:customStyle="1" w:styleId="97">
    <w:name w:val="wtext"/>
    <w:basedOn w:val="1"/>
    <w:qFormat/>
    <w:uiPriority w:val="0"/>
    <w:pPr>
      <w:widowControl/>
      <w:spacing w:before="100" w:beforeAutospacing="1" w:after="100" w:afterAutospacing="1"/>
      <w:ind w:firstLine="480"/>
      <w:jc w:val="left"/>
    </w:pPr>
    <w:rPr>
      <w:rFonts w:ascii="_x000B__x000C_" w:hAnsi="_x000B__x000C_"/>
      <w:color w:val="000000"/>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2023-10-12T02:38:00Z</cp:lastPrinted>
  <dcterms:modified xsi:type="dcterms:W3CDTF">2024-05-14T05:44:53Z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