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资阳市中心医院</w:t>
      </w:r>
      <w:r>
        <w:rPr>
          <w:rFonts w:hint="eastAsia" w:ascii="黑体" w:hAnsi="黑体" w:eastAsia="黑体" w:cs="黑体"/>
          <w:i w:val="0"/>
          <w:iCs w:val="0"/>
          <w:color w:val="000000"/>
          <w:kern w:val="0"/>
          <w:sz w:val="36"/>
          <w:szCs w:val="36"/>
          <w:u w:val="none"/>
          <w:lang w:val="en-US" w:eastAsia="zh-CN" w:bidi="ar"/>
        </w:rPr>
        <w:br w:type="textWrapping"/>
      </w:r>
      <w:r>
        <w:rPr>
          <w:rFonts w:hint="eastAsia" w:ascii="黑体" w:hAnsi="黑体" w:eastAsia="黑体" w:cs="黑体"/>
          <w:b w:val="0"/>
          <w:bCs w:val="0"/>
          <w:i w:val="0"/>
          <w:iCs w:val="0"/>
          <w:color w:val="000000"/>
          <w:kern w:val="0"/>
          <w:sz w:val="36"/>
          <w:szCs w:val="36"/>
          <w:u w:val="none"/>
          <w:lang w:val="en-US" w:eastAsia="zh-CN" w:bidi="ar"/>
        </w:rPr>
        <w:t>急诊重症能力提升项目调研公告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对医院急诊</w:t>
      </w:r>
      <w:r>
        <w:rPr>
          <w:rFonts w:hint="eastAsia" w:ascii="仿宋" w:hAnsi="仿宋" w:cs="仿宋"/>
          <w:i w:val="0"/>
          <w:iCs w:val="0"/>
          <w:color w:val="auto"/>
          <w:sz w:val="28"/>
          <w:szCs w:val="28"/>
          <w:u w:val="none"/>
          <w:lang w:val="en-US" w:eastAsia="zh-CN"/>
        </w:rPr>
        <w:t>重症能力提升项目</w:t>
      </w:r>
      <w:r>
        <w:rPr>
          <w:rFonts w:hint="eastAsia" w:ascii="仿宋" w:hAnsi="仿宋" w:eastAsia="仿宋" w:cs="仿宋"/>
          <w:i w:val="0"/>
          <w:iCs w:val="0"/>
          <w:color w:val="auto"/>
          <w:sz w:val="28"/>
          <w:szCs w:val="28"/>
          <w:u w:val="none"/>
          <w:lang w:val="en-US" w:eastAsia="zh-CN"/>
        </w:rPr>
        <w:t>进行市场调研,欢迎各潜在供应商进行报名，现公开征集</w:t>
      </w:r>
      <w:r>
        <w:rPr>
          <w:rFonts w:hint="eastAsia" w:ascii="仿宋" w:hAnsi="仿宋" w:cs="仿宋"/>
          <w:i w:val="0"/>
          <w:iCs w:val="0"/>
          <w:color w:val="auto"/>
          <w:sz w:val="28"/>
          <w:szCs w:val="28"/>
          <w:u w:val="none"/>
          <w:lang w:val="en-US" w:eastAsia="zh-CN"/>
        </w:rPr>
        <w:t>整体方案</w:t>
      </w:r>
      <w:r>
        <w:rPr>
          <w:rFonts w:hint="eastAsia" w:ascii="仿宋" w:hAnsi="仿宋" w:eastAsia="仿宋" w:cs="仿宋"/>
          <w:i w:val="0"/>
          <w:iCs w:val="0"/>
          <w:color w:val="auto"/>
          <w:sz w:val="28"/>
          <w:szCs w:val="28"/>
          <w:u w:val="none"/>
          <w:lang w:val="en-US" w:eastAsia="zh-CN"/>
        </w:rPr>
        <w:t>资料</w:t>
      </w:r>
      <w:r>
        <w:rPr>
          <w:rFonts w:hint="eastAsia" w:ascii="仿宋" w:hAnsi="仿宋" w:cs="仿宋"/>
          <w:i w:val="0"/>
          <w:iCs w:val="0"/>
          <w:color w:val="auto"/>
          <w:sz w:val="28"/>
          <w:szCs w:val="28"/>
          <w:u w:val="none"/>
          <w:lang w:val="en-US" w:eastAsia="zh-CN"/>
        </w:rPr>
        <w:t>（否则视为无效报名）</w:t>
      </w:r>
      <w:r>
        <w:rPr>
          <w:rFonts w:hint="eastAsia" w:ascii="仿宋" w:hAnsi="仿宋" w:eastAsia="仿宋" w:cs="仿宋"/>
          <w:i w:val="0"/>
          <w:iCs w:val="0"/>
          <w:color w:val="auto"/>
          <w:sz w:val="28"/>
          <w:szCs w:val="28"/>
          <w:u w:val="none"/>
          <w:lang w:val="en-US" w:eastAsia="zh-CN"/>
        </w:rPr>
        <w:t>,现将有关事宜公告如下：</w:t>
      </w:r>
    </w:p>
    <w:p>
      <w:pPr>
        <w:keepNext w:val="0"/>
        <w:keepLines w:val="0"/>
        <w:pageBreakBefore w:val="0"/>
        <w:numPr>
          <w:ilvl w:val="0"/>
          <w:numId w:val="1"/>
        </w:numPr>
        <w:kinsoku/>
        <w:wordWrap/>
        <w:overflowPunct/>
        <w:topLinePunct w:val="0"/>
        <w:autoSpaceDE/>
        <w:autoSpaceDN/>
        <w:bidi w:val="0"/>
        <w:adjustRightInd/>
        <w:snapToGrid/>
        <w:spacing w:line="360" w:lineRule="exact"/>
        <w:ind w:leftChars="0" w:firstLine="560" w:firstLineChars="200"/>
        <w:rPr>
          <w:rFonts w:hint="eastAsia"/>
          <w:color w:val="auto"/>
          <w:lang w:val="en-US" w:eastAsia="zh-CN"/>
        </w:rPr>
      </w:pPr>
      <w:r>
        <w:rPr>
          <w:rFonts w:hint="eastAsia" w:ascii="方正黑体简体" w:hAnsi="方正黑体简体" w:eastAsia="方正黑体简体" w:cs="方正黑体简体"/>
          <w:i w:val="0"/>
          <w:iCs w:val="0"/>
          <w:color w:val="auto"/>
          <w:kern w:val="0"/>
          <w:sz w:val="28"/>
          <w:szCs w:val="28"/>
          <w:u w:val="none"/>
          <w:lang w:val="en-US" w:eastAsia="zh-CN" w:bidi="ar"/>
        </w:rPr>
        <w:t>项目概述</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（一）</w:t>
      </w:r>
      <w:r>
        <w:rPr>
          <w:rFonts w:hint="eastAsia" w:ascii="仿宋" w:hAnsi="仿宋" w:eastAsia="仿宋" w:cs="仿宋"/>
          <w:i w:val="0"/>
          <w:iCs w:val="0"/>
          <w:color w:val="000000"/>
          <w:sz w:val="28"/>
          <w:szCs w:val="28"/>
          <w:u w:val="none"/>
          <w:lang w:val="en-US" w:eastAsia="zh-CN"/>
        </w:rPr>
        <w:t>建设内容：</w:t>
      </w: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早期预警及远程监护系统、急诊急救一体化平台</w:t>
      </w:r>
    </w:p>
    <w:tbl>
      <w:tblPr>
        <w:tblStyle w:val="14"/>
        <w:tblW w:w="55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053"/>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系统建设与院内相关系统集成需求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系统建设与院内相关系统集成需求</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医院已建设有医院信息集成平台，若系统建设需要与集成平台、HIS等相关业务系统对接，需要评估相关集成技术和经济需求。可另附明细表以及合理化建议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改造配合需求</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在项目建设及运维期内，应无偿配合医院应政策要求的等级保护、信创及商用密码改造、灾备能力提升适配等相关配合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医院云环境提供</w:t>
            </w:r>
          </w:p>
        </w:tc>
        <w:tc>
          <w:tcPr>
            <w:tcW w:w="3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医院提供普通应用的云环境部署资源，可由医院向云服务商申请，但服务器操作系统及数据库、中间件等应自行配备正版软件。</w:t>
            </w:r>
          </w:p>
        </w:tc>
      </w:tr>
    </w:tbl>
    <w:p>
      <w:pPr>
        <w:numPr>
          <w:ilvl w:val="0"/>
          <w:numId w:val="0"/>
        </w:numPr>
        <w:rPr>
          <w:rFonts w:hint="eastAsia"/>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（二）功能需求</w:t>
      </w:r>
    </w:p>
    <w:tbl>
      <w:tblPr>
        <w:tblStyle w:val="14"/>
        <w:tblW w:w="10012"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1583"/>
        <w:gridCol w:w="7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功能项</w:t>
            </w:r>
          </w:p>
        </w:tc>
        <w:tc>
          <w:tcPr>
            <w:tcW w:w="7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（一）早期预警及远程监护系统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护理巡查</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实现生命体征填写或采集，设备与患者配对；危重评分自动评估；医疗设备数据回顾及系统集成等功能；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支持通过扫码设备码（条形码或二维码）的方式实现设备与病人一对一绑定；支持查阅当前病人或当前设备的绑定状态；支持调阅医疗设备历史采集数据及采集时间；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3、支持护理巡查时填写生命体征等信息，包括但不限于体温、心率、呼吸、血压、血氧、意识及吸氧等体征参数；支持医疗设备数据自动填充，减少护理巡查工作量；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重症早期预警系统（重症快速反应系统）</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支持MEWS、NEWS等常见评估工具的自动计算并根据风险等级进行不同颜色的反馈及预警，用户可根据各级科室特点自选和自定义危重评估工具；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2、实现风险等级预警、实时调阅患者电子病历、检查检验结果影像、处置记录等功能；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3、系统可在患者表现病情变化前给与预警，通知相关人员及时处置患者，以加强治疗或转ICU进行高级生命支持，防止心脏骤停或者死亡；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4、接受高风险患者预警消息，用户可以选择声音提醒或关闭声音提醒；支持在5G信号覆盖区域均可以接受到预警消息。</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5、支持调阅患者电子病历，包括病程记录、检查检验、医疗设备记录及风险变化趋势；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6、支持手工输入或者模版输入的方式记录高风险病人处置记录；支持维护输入模版；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支持重症快速反应小组的交接班操作，实现预警的无缝衔接</w:t>
            </w:r>
            <w:r>
              <w:rPr>
                <w:rFonts w:hint="eastAsia" w:ascii="宋体" w:hAnsi="宋体" w:eastAsia="宋体" w:cs="宋体"/>
                <w:i w:val="0"/>
                <w:iCs w:val="0"/>
                <w:color w:val="000000"/>
                <w:kern w:val="0"/>
                <w:sz w:val="22"/>
                <w:szCs w:val="22"/>
                <w:u w:val="none"/>
                <w:lang w:val="en-US" w:eastAsia="zh-CN" w:bidi="ar"/>
              </w:rPr>
              <w:t>及连续性诊疗的呈现；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重症快速反应决策支持</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实现对风险预警进行质量控制，查阅病人的风险变化趋势等；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支持查阅风险预警记录，支持按照风险等级、科室、预警时间、姓名、在院状态等进行查询，查阅记录包括但不限于患者姓名、科室、评分结果、风险等级、处置情况等；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3、支持按照科室查询危重评估工具所需数据缺失情况，医疗设备应用情况，医疗设备配对情况；支持按照科室查询各风险等级人数及处置率；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重症监测中心可视化大屏</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在ICU及急诊科分别建设一个监测中心，实现对住院病人，急诊和门诊病人实现二级监护，并配套相应的可视化大屏设备；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2、实现全院医疗设备的中央监护，包括但不限于监护仪、呼吸机等设备；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住院病人重症监测可视化大屏，可查看“住院危重病人各等级的人数、各种等级病人的占比、各科室目标监测数量以及占住院病人的比例、导致危重的因素的分布图、高危病人的变化趋势图、各科室高危患者数量比例图”的统计概况；</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急门诊重症监测可视化大屏，可查看“急门诊危重病人各等级的人数、各种等级病人的占比、各科室目标监测数量以及占病人的比例、导致危重的因素的分布图、高危病人的变化趋势图、各科室高危患者数量比例图”的统计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重症远程监护系统</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搭建数据传输专线安全将ICU的监护数据、电子病历、电子医嘱、检验检查报告等不间断传输到华西医院监测中心，软件平台不断监视关键数据，通过危重评估工具或人工智能算法进行自动分级，然后由经过严格训练的医护人员核查和确认数据，可以通过实时音视频指导现场医护对患者进行处理，并持续跟进治疗情况，提升救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消息助手</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展示导管安置的位置和时间，提示导管安置时间和到期时间。颜色区分各种导管类型和到期时间。 列表展示包括但不限于评估提醒、危急值提醒等消息。以不同颜色展示不同等级消息；以声光形式提醒医护人员新消息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紧急呼叫</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管床护士可通过 ICU 床旁服务智能终端的呼叫按钮，进行紧急救援的呼叫。                                   值班护士在护士站可通过护士站主机与管床护士进行实时视频或语音对讲确认需 要增援的信息，及时的通知对应医生和护士到岗急救。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医疗设备数据采集工作站</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每个接入预警系统的临床科室配置一台，第一批次</w:t>
            </w:r>
            <w:r>
              <w:rPr>
                <w:rFonts w:hint="eastAsia" w:ascii="宋体" w:hAnsi="宋体" w:eastAsia="宋体" w:cs="宋体"/>
                <w:b/>
                <w:bCs/>
                <w:i w:val="0"/>
                <w:iCs w:val="0"/>
                <w:color w:val="auto"/>
                <w:kern w:val="0"/>
                <w:sz w:val="22"/>
                <w:szCs w:val="22"/>
                <w:u w:val="none"/>
                <w:lang w:val="en-US" w:eastAsia="zh-CN" w:bidi="ar"/>
              </w:rPr>
              <w:t>共10台。</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CPU8核2.4GHZ以上处理器，32G以上内存，2T硬盘，23寸显示器，键鼠套装，支持WiFi。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医用平板</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每个接入预警系统的临床科室配置2台，共20台。</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适用于医疗应用场景，防水、防尘及防摔，可以擦拭消毒等，可选配5G模组，实现全员无缝接入及一院多区集中管理。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CPU：核心数≥8，频率≥1.8GHz；RAM≥8GB，ROM≥256GB；屏幕尺寸≥10.1寸；屏幕分辨率≥1920*1200；摄像头：前摄≥5.0M，后摄≥13.0M；支持NFC、WiFi、4G、5G网络通信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1.10 </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床旁服务智能交互终端</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重症监护病区每个床单元配置一台，共36台。（也可与目前使用的移动推车共用）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CPU：≥四核；内存：≥2GB；储存：≥16GB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；显示屏：≥13.3"IPS屏；分辨率：≥1920*1080；WIFI：支持2.4G/5G；蓝牙：支持蓝牙4.0及以上；以太网：支持10M/100M及以上；供电方式：支持POE供电/支持12V2A电源供电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；RJ45：（POE IEEE802.3at)；串口：用于功能扩展使用；耳机：3.5mm立体声耳机输出带麦克风输入；摄像头：前置，像素≥1300万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；嵌入式设备：设备为内嵌控制终端的一体设备，内置安卓系统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床旁服务智能终端支架</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负载能力：0.5-4KG；材质：铝合金或不低于同等强度品质材质；臂长：≥1090mm；延长臂：左右摆动0-180度；升降臂：左右旋转0-370度；升级幅度：上下升降≥380mm；拉手转动：可365度转动；平板倾仰角：上≥30度，下≥90度；布线槽：全隐藏式（铝合金）；安装方式：支持吊挂或吊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移动多参数监护设备</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第一批每个临床科室配置2台，共20台。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穿戴式监护仪，采集患者生命体征数据，如心率，血氧，血压等数据。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医疗数采DTU</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重症监护病区每个床单元配置一台，共36台。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通过WI-FI技术实现医疗设备数据的无线传输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szCs w:val="22"/>
                <w:lang w:val="en-US" w:eastAsia="zh-CN"/>
              </w:rPr>
              <w:t>其他硬件</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color w:val="auto"/>
                <w:kern w:val="0"/>
                <w:sz w:val="22"/>
                <w:szCs w:val="22"/>
                <w:lang w:val="en-US" w:eastAsia="zh-CN"/>
              </w:rPr>
              <w:t>供应商如果其他软硬件方案，可评估另行增加及提供清单。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（二）急诊急救一体化平台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院前急救</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（1）院前急诊包含救护车管理、急救移动监护站、急救协助平台（包含电子大屏）、急救远程指导、院前电子病历等功能。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要需实现从接任务派车到转运回医院的院前急救工作集中化、统一化的信息管理，提升院前急救的效率，改善患者就医体验。通过院前急救系统的搭建，可以实现患者上车即入院，可以随时实现车载设备（GPS、监护仪、心电图等）信息的采集、集成与传输，同时医生可以很方便的与院内医生及指挥中心进行会诊，实现院前院内远程诊断，提高患者救治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院内急诊</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院内急诊包含预检分诊、排队叫号、急诊医生工作站、医护一体化留观工作站、医护一体化抢救工作站、急诊医嘱、急诊抢救留观电子病历、急诊护理、急诊移动护理、急诊会诊、急诊交接班、急诊纸质文件归档子系统、EICU、急诊输液管理、急诊质控管理、 急诊报表管理功能（居民死亡报卡、传染病、肿瘤报卡、食源性疾病报卡，突发公共卫生事件登记“等、）、急诊电子看板、急诊集成与设备采集、急诊移动查房、急诊数据中心及应用等。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要需实现建立院内急诊系统，实现急诊科从预检分诊、抢救室、留观室、普通诊室、电子病历、质控统计全流程信息化支持，对于患者实现具有时效机制的救治平台，分诊、抢救、留观多场景的信息共享，能嵌入急诊常见的一些评分如创伤、早期预警评分等，全程化的诊疗行为跟踪与电子化的记录形成以患者为中心的诊疗模式，大大缩短救治时间，提高抢救成功率，确保医疗安全。对于护士实现快速直观的预检分诊、自动采集患者体征数据信息及具有急诊专科特色的独立护理模板，简化工作流程，提高工作效率；具有交接班提醒、异常数据监控效果，提示各种未完成任务及患者各种异常体征信息，确保为患者提供更高效更高质量的优质服务。对于医生实现精确的时间管理，提供从分诊、抢救、留观全流程时间记录并以此时间为轴，记录患者整个就诊过程。快速可编辑的电子病历，具有专科病历模板，及时为医生提供教学急救数据，为医疗质控提供数据，为诊疗流程改进提供支撑。对于医院管理者实现专科电子病历质控功能，规范医疗行为，使急诊科有明确的质量与安全指标，含国家最新版的急诊专业质控指标，同时满足学科部分个性化指标抓取:如急性中毒 2小时内洗完成率。为医疗管理、科研、教学、公共卫生提供数据源，不仅提升医生的工作效率，更提高患者满意度和信任度。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七大中心建设</w:t>
            </w:r>
          </w:p>
        </w:tc>
        <w:tc>
          <w:tcPr>
            <w:tcW w:w="7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胸痛中心、卒中中心、创伤中心、中毒中心、上消化道出血中心、高危孕产妇中心、新生儿急救中心等共计七大中心建设，在此基础上可拓展其他中心。各中心数据采集功能要求最大程度自动化，手工录入占比不超过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救护车改造</w:t>
            </w:r>
          </w:p>
        </w:tc>
        <w:tc>
          <w:tcPr>
            <w:tcW w:w="7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（1）本次建设预计改造3台救护车。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急救车上急救必要的医疗设备，如心电图机，多参数监护仪，在充分利旧的前提下，通过技术手段将患者的图像、影像、生命体征等诊断创伤和判断病情的重要指标第一时间实时传输至数据平台，便于现场医护人员与创伤中心专家开展远程会诊，提早诊断病情，启动院内抢救准备工作，节约时间，提高患者获救几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u w:val="none"/>
              </w:rPr>
            </w:pPr>
          </w:p>
        </w:tc>
        <w:tc>
          <w:tcPr>
            <w:tcW w:w="7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时间采集管理系统</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（1）支持为患者佩戴专用智能设备，支持手环接诊、抽血、双抗、溶栓、会诊医生到达、签字等关键时间点自动采集。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（2）基于医院电子病历CA签名时间服务器进行时间统一。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（3)可自动无感记录患者到达相关区域的进入时间、离开时间、停留时间等信息，掌握详细活动路线，可提供基于日期和时间段的轨迹跟踪回放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车载主机</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每个救护车1台，共3台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路视频接入，使用标准H.265/H.264码流,支持双码流；内置1TB存储硬盘；具备断电保护功能；内置5G无线模块、WIFI模块；内置高灵敏度卫星定位模块，支持GPS/BD/GLONASS定位，定位信息同步封装入录像码流中；具备信息采集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医疗舱pda</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每个救护车1台，共3台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5.5寸，电容式触摸显示屏；≥8核处理器，频率≥2.0GHz，内存≥3GB；存储≥64GB；工作时间≥10小时，防护等级≥IP67；支持4G\5G全网通；支持2.4G及5G频段，支持蓝牙5.0；后置摄像头≥1300万像素，前置摄像头≥500万像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其他改造硬件</w:t>
            </w:r>
          </w:p>
        </w:tc>
        <w:tc>
          <w:tcPr>
            <w:tcW w:w="7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color w:val="auto"/>
                <w:kern w:val="0"/>
                <w:sz w:val="22"/>
                <w:szCs w:val="22"/>
                <w:lang w:val="en-US" w:eastAsia="zh-CN"/>
              </w:rPr>
              <w:t>供应商如果其他改造软硬件方案，可评估另行增加及提供清单。</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仿宋" w:hAnsi="仿宋" w:eastAsia="仿宋" w:cs="仿宋"/>
          <w:i w:val="0"/>
          <w:iCs w:val="0"/>
          <w:color w:val="0000FF"/>
          <w:kern w:val="2"/>
          <w:sz w:val="28"/>
          <w:szCs w:val="28"/>
          <w:u w:val="none"/>
          <w:lang w:val="en-US" w:eastAsia="zh-CN" w:bidi="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二、项目要求</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1．参照《电子病历系统功能应用水平分级评价方法及标准（试行）》六级要求建设；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．参照《国家医疗健康信息区域卫生</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医院</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信息互联互通标准化成熟度测评方案（</w:t>
      </w:r>
      <w:r>
        <w:rPr>
          <w:rFonts w:hint="default" w:ascii="仿宋" w:hAnsi="仿宋" w:eastAsia="仿宋" w:cs="仿宋"/>
          <w:i w:val="0"/>
          <w:iCs w:val="0"/>
          <w:color w:val="000000"/>
          <w:sz w:val="28"/>
          <w:szCs w:val="28"/>
          <w:u w:val="none"/>
          <w:lang w:val="en-US" w:eastAsia="zh-CN"/>
        </w:rPr>
        <w:t>2020</w:t>
      </w:r>
      <w:r>
        <w:rPr>
          <w:rFonts w:hint="eastAsia" w:ascii="仿宋" w:hAnsi="仿宋" w:eastAsia="仿宋" w:cs="仿宋"/>
          <w:i w:val="0"/>
          <w:iCs w:val="0"/>
          <w:color w:val="000000"/>
          <w:sz w:val="28"/>
          <w:szCs w:val="28"/>
          <w:u w:val="none"/>
          <w:lang w:val="en-US" w:eastAsia="zh-CN"/>
        </w:rPr>
        <w:t>年版）》五级乙等建设；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．参照《医院智慧服务分级评估标准体系（试行）》四级要求建设；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4</w:t>
      </w:r>
      <w:r>
        <w:rPr>
          <w:rFonts w:hint="eastAsia" w:ascii="仿宋" w:hAnsi="仿宋" w:eastAsia="仿宋" w:cs="仿宋"/>
          <w:i w:val="0"/>
          <w:iCs w:val="0"/>
          <w:color w:val="000000"/>
          <w:sz w:val="28"/>
          <w:szCs w:val="28"/>
          <w:u w:val="none"/>
          <w:lang w:val="en-US" w:eastAsia="zh-CN"/>
        </w:rPr>
        <w:t>．需参照《医院智慧管理分级评估标准体系（试行）》三级要求建设；</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default" w:ascii="仿宋" w:hAnsi="仿宋" w:eastAsia="仿宋" w:cs="仿宋"/>
          <w:i w:val="0"/>
          <w:iCs w:val="0"/>
          <w:color w:val="000000"/>
          <w:sz w:val="28"/>
          <w:szCs w:val="28"/>
          <w:u w:val="none"/>
          <w:lang w:val="en-US" w:eastAsia="zh-CN"/>
        </w:rPr>
        <w:t>5</w:t>
      </w:r>
      <w:r>
        <w:rPr>
          <w:rFonts w:hint="eastAsia" w:ascii="仿宋" w:hAnsi="仿宋" w:eastAsia="仿宋" w:cs="仿宋"/>
          <w:i w:val="0"/>
          <w:iCs w:val="0"/>
          <w:color w:val="000000"/>
          <w:sz w:val="28"/>
          <w:szCs w:val="28"/>
          <w:u w:val="none"/>
          <w:lang w:val="en-US" w:eastAsia="zh-CN"/>
        </w:rPr>
        <w:t>．必须达到《信息安全技术信息系统安全等级保护基本要求》</w:t>
      </w:r>
      <w:r>
        <w:rPr>
          <w:rFonts w:hint="default" w:ascii="仿宋" w:hAnsi="仿宋" w:eastAsia="仿宋" w:cs="仿宋"/>
          <w:i w:val="0"/>
          <w:iCs w:val="0"/>
          <w:color w:val="000000"/>
          <w:sz w:val="28"/>
          <w:szCs w:val="28"/>
          <w:u w:val="none"/>
          <w:lang w:val="en-US" w:eastAsia="zh-CN"/>
        </w:rPr>
        <w:t>(GB/T22239-2019)</w:t>
      </w:r>
      <w:r>
        <w:rPr>
          <w:rFonts w:hint="eastAsia" w:ascii="仿宋" w:hAnsi="仿宋" w:eastAsia="仿宋" w:cs="仿宋"/>
          <w:i w:val="0"/>
          <w:iCs w:val="0"/>
          <w:color w:val="000000"/>
          <w:sz w:val="28"/>
          <w:szCs w:val="28"/>
          <w:u w:val="none"/>
          <w:lang w:val="en-US" w:eastAsia="zh-CN"/>
        </w:rPr>
        <w:t>三级</w:t>
      </w:r>
      <w:r>
        <w:rPr>
          <w:rFonts w:hint="eastAsia" w:ascii="仿宋" w:hAnsi="仿宋" w:eastAsia="仿宋" w:cs="仿宋"/>
          <w:i w:val="0"/>
          <w:iCs w:val="0"/>
          <w:color w:val="auto"/>
          <w:sz w:val="28"/>
          <w:szCs w:val="28"/>
          <w:u w:val="none"/>
          <w:lang w:val="en-US" w:eastAsia="zh-CN"/>
        </w:rPr>
        <w:t>要求；</w:t>
      </w:r>
    </w:p>
    <w:p>
      <w:pPr>
        <w:pStyle w:val="6"/>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default" w:ascii="仿宋" w:hAnsi="仿宋" w:eastAsia="仿宋" w:cs="仿宋"/>
          <w:i w:val="0"/>
          <w:iCs w:val="0"/>
          <w:color w:val="auto"/>
          <w:kern w:val="2"/>
          <w:sz w:val="28"/>
          <w:szCs w:val="28"/>
          <w:u w:val="none"/>
          <w:lang w:val="en-US" w:eastAsia="zh-CN" w:bidi="zh-CN"/>
        </w:rPr>
      </w:pPr>
      <w:r>
        <w:rPr>
          <w:rFonts w:hint="default" w:ascii="仿宋" w:hAnsi="仿宋" w:eastAsia="仿宋" w:cs="仿宋"/>
          <w:i w:val="0"/>
          <w:iCs w:val="0"/>
          <w:color w:val="auto"/>
          <w:sz w:val="28"/>
          <w:szCs w:val="28"/>
          <w:u w:val="none"/>
          <w:lang w:val="en-US" w:eastAsia="zh-CN"/>
        </w:rPr>
        <w:t>6</w:t>
      </w:r>
      <w:r>
        <w:rPr>
          <w:rFonts w:hint="eastAsia" w:ascii="仿宋" w:hAnsi="仿宋" w:eastAsia="仿宋" w:cs="仿宋"/>
          <w:i w:val="0"/>
          <w:iCs w:val="0"/>
          <w:color w:val="auto"/>
          <w:sz w:val="28"/>
          <w:szCs w:val="28"/>
          <w:u w:val="none"/>
          <w:lang w:val="en-US" w:eastAsia="zh-CN"/>
        </w:rPr>
        <w:t>．要求提供定制化开发服务，满足医院个性化需求。</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auto"/>
          <w:kern w:val="0"/>
          <w:sz w:val="28"/>
          <w:szCs w:val="28"/>
          <w:u w:val="none"/>
          <w:lang w:val="en-US" w:eastAsia="zh-CN" w:bidi="ar"/>
        </w:rPr>
      </w:pPr>
      <w:r>
        <w:rPr>
          <w:rFonts w:hint="eastAsia" w:ascii="方正黑体简体" w:hAnsi="方正黑体简体" w:eastAsia="方正黑体简体" w:cs="方正黑体简体"/>
          <w:i w:val="0"/>
          <w:iCs w:val="0"/>
          <w:color w:val="auto"/>
          <w:kern w:val="0"/>
          <w:sz w:val="28"/>
          <w:szCs w:val="28"/>
          <w:u w:val="none"/>
          <w:lang w:val="en-US" w:eastAsia="zh-CN" w:bidi="ar"/>
        </w:rPr>
        <w:t>三、报名时间、方式</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报名时间：截止时间为2024年 5 月 11 日 ，公告截止日期后递交的报名资料无效。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报名方式:本次市场调研活动采用邮箱报名，不接受现场报名。</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1.报名资料按附件《报名须知》</w:t>
      </w:r>
      <w:r>
        <w:rPr>
          <w:rFonts w:hint="eastAsia" w:ascii="仿宋" w:hAnsi="仿宋" w:eastAsia="仿宋" w:cs="仿宋"/>
          <w:i w:val="0"/>
          <w:iCs w:val="0"/>
          <w:color w:val="000000"/>
          <w:sz w:val="28"/>
          <w:szCs w:val="28"/>
          <w:u w:val="none"/>
          <w:lang w:val="en-US" w:eastAsia="zh-CN"/>
        </w:rPr>
        <w:t>要求，将电子文档（盖章扫描件和可编辑版本）发</w:t>
      </w:r>
      <w:r>
        <w:rPr>
          <w:rFonts w:hint="eastAsia" w:ascii="仿宋" w:hAnsi="仿宋" w:eastAsia="仿宋" w:cs="仿宋"/>
          <w:i w:val="0"/>
          <w:iCs w:val="0"/>
          <w:color w:val="auto"/>
          <w:sz w:val="28"/>
          <w:szCs w:val="28"/>
          <w:u w:val="none"/>
          <w:lang w:val="en-US" w:eastAsia="zh-CN"/>
        </w:rPr>
        <w:t>送至1130020890@qq.com，并抄送至2539231388@qq.com。邮件名称：“XXXX项目名称+公司名称+联系人+联系电话）”报名资料目录见附件。</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2.联系人</w:t>
      </w:r>
      <w:r>
        <w:rPr>
          <w:rFonts w:hint="eastAsia" w:ascii="仿宋" w:hAnsi="仿宋" w:cs="仿宋"/>
          <w:i w:val="0"/>
          <w:iCs w:val="0"/>
          <w:color w:val="auto"/>
          <w:sz w:val="28"/>
          <w:szCs w:val="28"/>
          <w:u w:val="none"/>
          <w:lang w:val="en-US" w:eastAsia="zh-CN"/>
        </w:rPr>
        <w:t xml:space="preserve"> </w:t>
      </w:r>
      <w:r>
        <w:rPr>
          <w:rFonts w:hint="eastAsia" w:ascii="仿宋" w:hAnsi="仿宋" w:eastAsia="仿宋" w:cs="仿宋"/>
          <w:i w:val="0"/>
          <w:iCs w:val="0"/>
          <w:color w:val="auto"/>
          <w:sz w:val="28"/>
          <w:szCs w:val="28"/>
          <w:u w:val="none"/>
          <w:lang w:val="en-US" w:eastAsia="zh-CN"/>
        </w:rPr>
        <w:t>：</w:t>
      </w:r>
      <w:r>
        <w:rPr>
          <w:rFonts w:hint="eastAsia" w:ascii="仿宋" w:hAnsi="仿宋" w:cs="仿宋"/>
          <w:i w:val="0"/>
          <w:iCs w:val="0"/>
          <w:color w:val="auto"/>
          <w:sz w:val="28"/>
          <w:szCs w:val="28"/>
          <w:u w:val="none"/>
          <w:lang w:val="en-US" w:eastAsia="zh-CN"/>
        </w:rPr>
        <w:t>李</w:t>
      </w:r>
      <w:r>
        <w:rPr>
          <w:rFonts w:hint="eastAsia" w:ascii="仿宋" w:hAnsi="仿宋" w:eastAsia="仿宋" w:cs="仿宋"/>
          <w:i w:val="0"/>
          <w:iCs w:val="0"/>
          <w:color w:val="auto"/>
          <w:sz w:val="28"/>
          <w:szCs w:val="28"/>
          <w:u w:val="none"/>
          <w:lang w:val="en-US" w:eastAsia="zh-CN"/>
        </w:rPr>
        <w:t>老师 028-26219526</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auto"/>
          <w:sz w:val="28"/>
          <w:szCs w:val="28"/>
          <w:u w:val="none"/>
          <w:lang w:val="en-US" w:eastAsia="zh-CN"/>
        </w:rPr>
        <w:t>3.</w:t>
      </w:r>
      <w:r>
        <w:rPr>
          <w:rFonts w:hint="eastAsia" w:ascii="仿宋" w:hAnsi="仿宋" w:eastAsia="仿宋" w:cs="仿宋"/>
          <w:i w:val="0"/>
          <w:iCs w:val="0"/>
          <w:color w:val="auto"/>
          <w:sz w:val="28"/>
          <w:szCs w:val="28"/>
          <w:u w:val="none"/>
          <w:lang w:val="en-US" w:eastAsia="zh-CN"/>
        </w:rPr>
        <w:t>线上或线下集中调研需求论证时间及地</w:t>
      </w:r>
      <w:r>
        <w:rPr>
          <w:rFonts w:hint="eastAsia" w:ascii="仿宋" w:hAnsi="仿宋" w:eastAsia="仿宋" w:cs="仿宋"/>
          <w:i w:val="0"/>
          <w:iCs w:val="0"/>
          <w:color w:val="000000"/>
          <w:sz w:val="28"/>
          <w:szCs w:val="28"/>
          <w:u w:val="none"/>
          <w:lang w:val="en-US" w:eastAsia="zh-CN"/>
        </w:rPr>
        <w:t>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1.本次以整体方案调研，不再接受单个厂商针对单个系统提供调研资料及报价。可接受联合体、厂商授权等方式进行整合报名登记或提交。各潜在供应商应自行考虑项目管理费等相关成本。</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4.参加供应商保证拟推荐货物应为合法、全新、未使用过的原装正品，配置应为出厂标准配置，如有选配件需单独注明；如需使用单一来源的耗材也需单独注明。</w:t>
      </w:r>
    </w:p>
    <w:p>
      <w:pPr>
        <w:pStyle w:val="6"/>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5.供应商宜通过阐述系统相关业务场景应用、结合医院流程进行分析，阐述解决方案的优势。对接口方案、对接系统以及所需要的对接数据等内容进行进一步阐述。</w:t>
      </w:r>
    </w:p>
    <w:p>
      <w:pPr>
        <w:rPr>
          <w:rFonts w:hint="eastAsia"/>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2"/>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7871"/>
      <w:bookmarkStart w:id="1" w:name="_Toc427002393"/>
      <w:bookmarkStart w:id="2" w:name="_Toc247527848"/>
      <w:bookmarkStart w:id="3" w:name="_Toc247514300"/>
      <w:bookmarkStart w:id="4" w:name="_Toc144974876"/>
      <w:bookmarkStart w:id="5" w:name="_Toc7415"/>
      <w:bookmarkStart w:id="6" w:name="_Toc10065"/>
      <w:bookmarkStart w:id="7" w:name="_Toc152045808"/>
      <w:bookmarkStart w:id="8" w:name="_Toc152042597"/>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4"/>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1933045"/>
            <w:bookmarkStart w:id="10" w:name="_Toc322080001"/>
            <w:bookmarkStart w:id="11" w:name="_Toc16693"/>
            <w:bookmarkStart w:id="12"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8522"/>
      <w:bookmarkStart w:id="19" w:name="_Toc5131"/>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16232"/>
      <w:bookmarkStart w:id="21" w:name="_Toc22588"/>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21787"/>
      <w:bookmarkStart w:id="26" w:name="_Toc4162"/>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int="eastAsia" w:hAnsi="宋体"/>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项目名称：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采购品目分类名称：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4"/>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1768"/>
        <w:gridCol w:w="2091"/>
        <w:gridCol w:w="1269"/>
        <w:gridCol w:w="2020"/>
        <w:gridCol w:w="952"/>
        <w:gridCol w:w="921"/>
        <w:gridCol w:w="1114"/>
        <w:gridCol w:w="3236"/>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（必填）</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（必填）</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报价</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（万元）</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该产品在国内三甲医院用户案例</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实施周期及驻场实施人数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b w:val="0"/>
                <w:color w:val="auto"/>
                <w:kern w:val="2"/>
                <w:sz w:val="24"/>
                <w:szCs w:val="24"/>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免费</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质保期（3年及以上，最佳5年）</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后期</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维护费</w:t>
            </w:r>
            <w:r>
              <w:rPr>
                <w:rFonts w:hint="eastAsia" w:ascii="仿宋" w:hAnsi="仿宋" w:eastAsia="仿宋" w:cs="仿宋"/>
                <w:b w:val="0"/>
                <w:color w:val="auto"/>
                <w:kern w:val="2"/>
                <w:sz w:val="20"/>
                <w:szCs w:val="20"/>
                <w:lang w:val="en-US" w:eastAsia="zh-CN" w:bidi="ar-SA"/>
              </w:rPr>
              <w:br w:type="textWrapping"/>
            </w:r>
            <w:r>
              <w:rPr>
                <w:rFonts w:hint="eastAsia" w:ascii="仿宋" w:hAnsi="仿宋" w:eastAsia="仿宋" w:cs="仿宋"/>
                <w:b w:val="0"/>
                <w:color w:val="auto"/>
                <w:kern w:val="2"/>
                <w:sz w:val="20"/>
                <w:szCs w:val="20"/>
                <w:lang w:val="en-US" w:eastAsia="zh-CN" w:bidi="ar-SA"/>
              </w:rPr>
              <w:t>（不得高于合同金额5%）</w:t>
            </w: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评级情况</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优势特色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代表案例具体医院名称：</w:t>
            </w: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驻场实施人数：X人</w:t>
            </w: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X年</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color w:val="auto"/>
                <w:sz w:val="20"/>
                <w:szCs w:val="20"/>
                <w:lang w:val="en-US" w:eastAsia="zh-CN"/>
              </w:rPr>
              <w:t>合同金额的5%</w:t>
            </w: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auto"/>
                <w:kern w:val="2"/>
                <w:sz w:val="20"/>
                <w:szCs w:val="20"/>
                <w:lang w:val="en-US" w:eastAsia="zh-CN" w:bidi="ar-SA"/>
              </w:rPr>
            </w:pPr>
            <w:r>
              <w:rPr>
                <w:rFonts w:hint="eastAsia" w:ascii="仿宋" w:hAnsi="仿宋" w:eastAsia="仿宋" w:cs="仿宋"/>
                <w:b w:val="0"/>
                <w:color w:val="auto"/>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0"/>
                <w:szCs w:val="20"/>
                <w:lang w:val="en-US" w:eastAsia="zh-CN" w:bidi="ar-SA"/>
              </w:rPr>
              <w:t>4.四川省智慧医院得分：</w:t>
            </w: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2</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auto"/>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auto"/>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auto"/>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3</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FF0000"/>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FF0000"/>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FF0000"/>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4</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color w:val="FF0000"/>
                <w:sz w:val="20"/>
                <w:szCs w:val="20"/>
                <w:lang w:val="en-US" w:eastAsia="zh-CN"/>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FF0000"/>
                <w:kern w:val="2"/>
                <w:sz w:val="20"/>
                <w:szCs w:val="20"/>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FF0000"/>
                <w:kern w:val="2"/>
                <w:sz w:val="20"/>
                <w:szCs w:val="20"/>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6"/>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7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884"/>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22058"/>
      <w:r>
        <w:rPr>
          <w:rFonts w:hint="eastAsia"/>
          <w:lang w:val="en-US" w:eastAsia="zh-CN"/>
        </w:rPr>
        <w:t>5.1 四川省内（  ）家</w:t>
      </w:r>
      <w:bookmarkEnd w:id="31"/>
    </w:p>
    <w:tbl>
      <w:tblPr>
        <w:tblStyle w:val="14"/>
        <w:tblpPr w:leftFromText="180" w:rightFromText="180" w:vertAnchor="text" w:horzAnchor="page" w:tblpXSpec="center" w:tblpY="285"/>
        <w:tblOverlap w:val="never"/>
        <w:tblW w:w="14022"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2031"/>
        <w:gridCol w:w="1200"/>
        <w:gridCol w:w="1536"/>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203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2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536"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26850"/>
      <w:r>
        <w:rPr>
          <w:rFonts w:hint="eastAsia"/>
          <w:lang w:val="en-US" w:eastAsia="zh-CN"/>
        </w:rPr>
        <w:t>5.2 四川省外（  ）家</w:t>
      </w:r>
      <w:bookmarkEnd w:id="32"/>
    </w:p>
    <w:tbl>
      <w:tblPr>
        <w:tblStyle w:val="14"/>
        <w:tblpPr w:leftFromText="180" w:rightFromText="180" w:vertAnchor="text" w:horzAnchor="page" w:tblpXSpec="center" w:tblpY="285"/>
        <w:tblOverlap w:val="never"/>
        <w:tblW w:w="13440"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138151651"/>
      <w:bookmarkStart w:id="34" w:name="_Toc8028"/>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color w:val="auto"/>
          <w:lang w:val="en-US" w:eastAsia="zh-CN"/>
        </w:rPr>
      </w:pPr>
      <w:bookmarkStart w:id="35" w:name="_Toc138151652"/>
      <w:bookmarkStart w:id="36" w:name="_Toc9658"/>
      <w:r>
        <w:rPr>
          <w:rFonts w:hint="eastAsia"/>
          <w:color w:val="auto"/>
          <w:lang w:val="en-US" w:eastAsia="zh-CN"/>
        </w:rPr>
        <w:t>六、报价表</w:t>
      </w:r>
      <w:bookmarkEnd w:id="35"/>
      <w:r>
        <w:rPr>
          <w:rFonts w:hint="eastAsia"/>
          <w:color w:val="auto"/>
          <w:lang w:val="en-US" w:eastAsia="zh-CN"/>
        </w:rPr>
        <w:t>包含内容</w:t>
      </w:r>
      <w:bookmarkEnd w:id="36"/>
      <w:bookmarkStart w:id="46" w:name="_GoBack"/>
      <w:bookmarkEnd w:id="46"/>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w:t>
      </w:r>
      <w:r>
        <w:rPr>
          <w:rFonts w:hint="default" w:ascii="仿宋" w:hAnsi="仿宋" w:eastAsia="仿宋" w:cs="仿宋"/>
          <w:b w:val="0"/>
          <w:color w:val="auto"/>
          <w:kern w:val="2"/>
          <w:sz w:val="24"/>
          <w:szCs w:val="24"/>
          <w:lang w:val="en-US" w:eastAsia="zh-CN" w:bidi="ar-SA"/>
        </w:rPr>
        <w:t>第三方测评公司出具的测评报告(包括功能、性能、安全等)</w:t>
      </w:r>
      <w:r>
        <w:rPr>
          <w:rFonts w:hint="eastAsia" w:ascii="仿宋" w:hAnsi="仿宋" w:eastAsia="仿宋" w:cs="仿宋"/>
          <w:b w:val="0"/>
          <w:color w:val="auto"/>
          <w:kern w:val="2"/>
          <w:sz w:val="24"/>
          <w:szCs w:val="24"/>
          <w:lang w:val="en-US" w:eastAsia="zh-CN" w:bidi="ar-SA"/>
        </w:rPr>
        <w:t>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4.质保期之后，系统维保费率不高于招投标总价的5%。</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29743"/>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187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0444"/>
      <w:bookmarkStart w:id="41" w:name="_Toc138151654"/>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38151655"/>
      <w:bookmarkStart w:id="43" w:name="_Toc28764"/>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8113"/>
      <w:bookmarkStart w:id="45" w:name="_Toc138151656"/>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FA7FF-431D-4ED8-AB09-7D38072CC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7C1E71-8081-4A91-8DD4-9B8B11824ABA}"/>
  </w:font>
  <w:font w:name="仿宋">
    <w:panose1 w:val="02010609060101010101"/>
    <w:charset w:val="86"/>
    <w:family w:val="auto"/>
    <w:pitch w:val="default"/>
    <w:sig w:usb0="800002BF" w:usb1="38CF7CFA" w:usb2="00000016" w:usb3="00000000" w:csb0="00040001" w:csb1="00000000"/>
    <w:embedRegular r:id="rId3" w:fontKey="{56CDBE3E-CA3F-4C63-969A-A7244A7A444A}"/>
  </w:font>
  <w:font w:name="方正小标宋简体">
    <w:panose1 w:val="03000509000000000000"/>
    <w:charset w:val="86"/>
    <w:family w:val="auto"/>
    <w:pitch w:val="default"/>
    <w:sig w:usb0="00000001" w:usb1="080E0000" w:usb2="00000000" w:usb3="00000000" w:csb0="00040000" w:csb1="00000000"/>
    <w:embedRegular r:id="rId4" w:fontKey="{A624A3B7-67D5-422F-AE73-FAB4C7726419}"/>
  </w:font>
  <w:font w:name="方正黑体简体">
    <w:panose1 w:val="03000509000000000000"/>
    <w:charset w:val="86"/>
    <w:family w:val="auto"/>
    <w:pitch w:val="default"/>
    <w:sig w:usb0="00000001" w:usb1="080E0000" w:usb2="00000000" w:usb3="00000000" w:csb0="00040000" w:csb1="00000000"/>
    <w:embedRegular r:id="rId5" w:fontKey="{2C27515E-8938-477E-AC72-90BAB5C0AE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E191"/>
    <w:multiLevelType w:val="singleLevel"/>
    <w:tmpl w:val="ACE4E191"/>
    <w:lvl w:ilvl="0" w:tentative="0">
      <w:start w:val="1"/>
      <w:numFmt w:val="decimal"/>
      <w:suff w:val="nothing"/>
      <w:lvlText w:val="%1、"/>
      <w:lvlJc w:val="left"/>
    </w:lvl>
  </w:abstractNum>
  <w:abstractNum w:abstractNumId="1">
    <w:nsid w:val="ADB241E1"/>
    <w:multiLevelType w:val="singleLevel"/>
    <w:tmpl w:val="ADB241E1"/>
    <w:lvl w:ilvl="0" w:tentative="0">
      <w:start w:val="1"/>
      <w:numFmt w:val="chineseCounting"/>
      <w:suff w:val="nothing"/>
      <w:lvlText w:val="%1、"/>
      <w:lvlJc w:val="left"/>
      <w:rPr>
        <w:rFonts w:hint="eastAsia"/>
      </w:rPr>
    </w:lvl>
  </w:abstractNum>
  <w:abstractNum w:abstractNumId="2">
    <w:nsid w:val="E64DC3CE"/>
    <w:multiLevelType w:val="singleLevel"/>
    <w:tmpl w:val="E64DC3CE"/>
    <w:lvl w:ilvl="0" w:tentative="0">
      <w:start w:val="1"/>
      <w:numFmt w:val="chineseCounting"/>
      <w:suff w:val="nothing"/>
      <w:lvlText w:val="（%1）"/>
      <w:lvlJc w:val="left"/>
      <w:rPr>
        <w:rFonts w:hint="eastAsia"/>
      </w:rPr>
    </w:lvl>
  </w:abstractNum>
  <w:abstractNum w:abstractNumId="3">
    <w:nsid w:val="168C2C5C"/>
    <w:multiLevelType w:val="singleLevel"/>
    <w:tmpl w:val="168C2C5C"/>
    <w:lvl w:ilvl="0" w:tentative="0">
      <w:start w:val="4"/>
      <w:numFmt w:val="chineseCounting"/>
      <w:suff w:val="nothing"/>
      <w:lvlText w:val="%1、"/>
      <w:lvlJc w:val="left"/>
      <w:rPr>
        <w:rFonts w:hint="eastAsia"/>
      </w:rPr>
    </w:lvl>
  </w:abstractNum>
  <w:abstractNum w:abstractNumId="4">
    <w:nsid w:val="323A335F"/>
    <w:multiLevelType w:val="singleLevel"/>
    <w:tmpl w:val="323A335F"/>
    <w:lvl w:ilvl="0" w:tentative="0">
      <w:start w:val="1"/>
      <w:numFmt w:val="decimal"/>
      <w:suff w:val="nothing"/>
      <w:lvlText w:val="%1、"/>
      <w:lvlJc w:val="left"/>
    </w:lvl>
  </w:abstractNum>
  <w:abstractNum w:abstractNumId="5">
    <w:nsid w:val="42DD472A"/>
    <w:multiLevelType w:val="singleLevel"/>
    <w:tmpl w:val="42DD472A"/>
    <w:lvl w:ilvl="0" w:tentative="0">
      <w:start w:val="1"/>
      <w:numFmt w:val="decimal"/>
      <w:suff w:val="nothing"/>
      <w:lvlText w:val="%1、"/>
      <w:lvlJc w:val="left"/>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0430D0"/>
    <w:rsid w:val="037F580B"/>
    <w:rsid w:val="03D3104E"/>
    <w:rsid w:val="04593878"/>
    <w:rsid w:val="056365BF"/>
    <w:rsid w:val="0C811C7B"/>
    <w:rsid w:val="0CDC4161"/>
    <w:rsid w:val="0D5422FE"/>
    <w:rsid w:val="0DD4413B"/>
    <w:rsid w:val="0EA93CA3"/>
    <w:rsid w:val="121A3D4C"/>
    <w:rsid w:val="13712447"/>
    <w:rsid w:val="153E6EE2"/>
    <w:rsid w:val="16207B77"/>
    <w:rsid w:val="18D92EBD"/>
    <w:rsid w:val="18E35B95"/>
    <w:rsid w:val="1A4F72D2"/>
    <w:rsid w:val="1A9B0A8F"/>
    <w:rsid w:val="1AAF2DD5"/>
    <w:rsid w:val="1AE31E7C"/>
    <w:rsid w:val="1ED65F1E"/>
    <w:rsid w:val="20E172DD"/>
    <w:rsid w:val="20E3342D"/>
    <w:rsid w:val="22A273FF"/>
    <w:rsid w:val="25C63BAB"/>
    <w:rsid w:val="25C67C05"/>
    <w:rsid w:val="283860D8"/>
    <w:rsid w:val="29FF496C"/>
    <w:rsid w:val="2B8925CC"/>
    <w:rsid w:val="2C6F6170"/>
    <w:rsid w:val="2D5A39B0"/>
    <w:rsid w:val="2D755A60"/>
    <w:rsid w:val="2E8E10D4"/>
    <w:rsid w:val="305F1B4D"/>
    <w:rsid w:val="34B66051"/>
    <w:rsid w:val="38761053"/>
    <w:rsid w:val="38A804E3"/>
    <w:rsid w:val="3A985554"/>
    <w:rsid w:val="3AAB598F"/>
    <w:rsid w:val="3EBE4976"/>
    <w:rsid w:val="3EF73899"/>
    <w:rsid w:val="3FF23327"/>
    <w:rsid w:val="42137613"/>
    <w:rsid w:val="428970E4"/>
    <w:rsid w:val="471570FA"/>
    <w:rsid w:val="49550899"/>
    <w:rsid w:val="4C734799"/>
    <w:rsid w:val="4F5F64BA"/>
    <w:rsid w:val="4FB545D4"/>
    <w:rsid w:val="502E58AD"/>
    <w:rsid w:val="5229783A"/>
    <w:rsid w:val="536B2A7D"/>
    <w:rsid w:val="53E51F5E"/>
    <w:rsid w:val="541505F1"/>
    <w:rsid w:val="56BF65F2"/>
    <w:rsid w:val="59410223"/>
    <w:rsid w:val="5BB10EFE"/>
    <w:rsid w:val="5DEA79AF"/>
    <w:rsid w:val="5E2F3B42"/>
    <w:rsid w:val="62561308"/>
    <w:rsid w:val="62927E29"/>
    <w:rsid w:val="640D6CAC"/>
    <w:rsid w:val="651F055C"/>
    <w:rsid w:val="654F0FD6"/>
    <w:rsid w:val="67CB7B5D"/>
    <w:rsid w:val="687304EE"/>
    <w:rsid w:val="6A987C6E"/>
    <w:rsid w:val="6D4B29EE"/>
    <w:rsid w:val="6D6D71FE"/>
    <w:rsid w:val="6EC06CA8"/>
    <w:rsid w:val="6EED01BE"/>
    <w:rsid w:val="6F492AD7"/>
    <w:rsid w:val="6F855309"/>
    <w:rsid w:val="709E1F5D"/>
    <w:rsid w:val="71B2000E"/>
    <w:rsid w:val="725577F4"/>
    <w:rsid w:val="74BE1DD0"/>
    <w:rsid w:val="75BE2C2C"/>
    <w:rsid w:val="76EB7264"/>
    <w:rsid w:val="77F5610B"/>
    <w:rsid w:val="79175759"/>
    <w:rsid w:val="7C1D61AE"/>
    <w:rsid w:val="7CEF5984"/>
    <w:rsid w:val="7E616B80"/>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customStyle="1" w:styleId="18">
    <w:name w:val="font81"/>
    <w:basedOn w:val="16"/>
    <w:qFormat/>
    <w:uiPriority w:val="0"/>
    <w:rPr>
      <w:rFonts w:hint="eastAsia" w:ascii="仿宋" w:hAnsi="仿宋" w:eastAsia="仿宋" w:cs="仿宋"/>
      <w:color w:val="FF0000"/>
      <w:sz w:val="24"/>
      <w:szCs w:val="24"/>
      <w:u w:val="none"/>
    </w:rPr>
  </w:style>
  <w:style w:type="character" w:customStyle="1" w:styleId="19">
    <w:name w:val="font61"/>
    <w:basedOn w:val="16"/>
    <w:qFormat/>
    <w:uiPriority w:val="0"/>
    <w:rPr>
      <w:rFonts w:hint="eastAsia" w:ascii="仿宋" w:hAnsi="仿宋" w:eastAsia="仿宋" w:cs="仿宋"/>
      <w:color w:val="000000"/>
      <w:sz w:val="24"/>
      <w:szCs w:val="24"/>
      <w:u w:val="none"/>
    </w:rPr>
  </w:style>
  <w:style w:type="character" w:customStyle="1" w:styleId="20">
    <w:name w:val="font41"/>
    <w:basedOn w:val="16"/>
    <w:qFormat/>
    <w:uiPriority w:val="0"/>
    <w:rPr>
      <w:rFonts w:hint="eastAsia" w:ascii="仿宋" w:hAnsi="仿宋" w:eastAsia="仿宋" w:cs="仿宋"/>
      <w:color w:val="000000"/>
      <w:sz w:val="24"/>
      <w:szCs w:val="24"/>
      <w:u w:val="none"/>
    </w:rPr>
  </w:style>
  <w:style w:type="character" w:customStyle="1" w:styleId="21">
    <w:name w:val="font71"/>
    <w:basedOn w:val="16"/>
    <w:qFormat/>
    <w:uiPriority w:val="0"/>
    <w:rPr>
      <w:rFonts w:hint="eastAsia" w:ascii="仿宋" w:hAnsi="仿宋" w:eastAsia="仿宋" w:cs="仿宋"/>
      <w:color w:val="0070C0"/>
      <w:sz w:val="24"/>
      <w:szCs w:val="24"/>
      <w:u w:val="none"/>
    </w:rPr>
  </w:style>
  <w:style w:type="character" w:customStyle="1" w:styleId="22">
    <w:name w:val="font51"/>
    <w:basedOn w:val="16"/>
    <w:qFormat/>
    <w:uiPriority w:val="0"/>
    <w:rPr>
      <w:rFonts w:hint="eastAsia" w:ascii="宋体" w:hAnsi="宋体" w:eastAsia="宋体" w:cs="宋体"/>
      <w:color w:val="000000"/>
      <w:sz w:val="24"/>
      <w:szCs w:val="24"/>
      <w:u w:val="none"/>
    </w:rPr>
  </w:style>
  <w:style w:type="character" w:customStyle="1" w:styleId="23">
    <w:name w:val="font21"/>
    <w:basedOn w:val="16"/>
    <w:qFormat/>
    <w:uiPriority w:val="0"/>
    <w:rPr>
      <w:rFonts w:hint="eastAsia" w:ascii="宋体" w:hAnsi="宋体" w:eastAsia="宋体" w:cs="宋体"/>
      <w:color w:val="000000"/>
      <w:sz w:val="22"/>
      <w:szCs w:val="22"/>
      <w:u w:val="none"/>
    </w:rPr>
  </w:style>
  <w:style w:type="character" w:customStyle="1" w:styleId="24">
    <w:name w:val="font11"/>
    <w:basedOn w:val="16"/>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3</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2024-05-06T03:25:03Z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708A41D279C14B33A7D9075D8DD59BE2</vt:lpwstr>
  </property>
</Properties>
</file>