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资阳市中心医院院徽征集活动作品报名表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89"/>
        <w:gridCol w:w="1565"/>
        <w:gridCol w:w="243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9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设计方案</w:t>
            </w:r>
          </w:p>
        </w:tc>
        <w:tc>
          <w:tcPr>
            <w:tcW w:w="7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详细说明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（对标识图形及其字体组合、色标、设计思想等进行详细说明。）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原创承诺</w:t>
            </w:r>
          </w:p>
        </w:tc>
        <w:tc>
          <w:tcPr>
            <w:tcW w:w="7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投稿作品拥有独立知识产权，遵从原创原则，此前未以任何形式发表和使用，也未以任何方式为公众所知悉，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未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与国家法律、法规相抵触，不对他人注册商标、外观设计专利及受知识产权保护的其它文体构成侵权，如涉及抄袭、侵权等行为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由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本人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承担相关法律责任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300D6"/>
    <w:rsid w:val="732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2024-02-21T07:41:00Z</dcterms:created>
  <dc:creator>张琪琳</dc:creator>
  <cp:lastModifiedBy>张琪琳</cp:lastModifiedBy>
  <dcterms:modified xsi:type="dcterms:W3CDTF">2024-02-21T07:43:07Z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273C07633C2A497CB8BC615F3EB7D529</vt:lpwstr>
  </property>
</Properties>
</file>