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kern w:val="0"/>
          <w:sz w:val="27"/>
          <w:szCs w:val="27"/>
          <w:shd w:val="clear" w:color="auto" w:fill="FFFFFF"/>
          <w:lang w:val="en-US" w:eastAsia="zh-CN" w:bidi="ar"/>
        </w:rPr>
      </w:pPr>
      <w:bookmarkStart w:id="0" w:name="_GoBack"/>
      <w:bookmarkEnd w:id="0"/>
      <w:r>
        <w:rPr>
          <w:rFonts w:hint="eastAsia" w:ascii="宋体" w:hAnsi="宋体" w:eastAsia="宋体" w:cs="宋体"/>
          <w:b/>
          <w:bCs/>
          <w:i w:val="0"/>
          <w:iCs w:val="0"/>
          <w:caps w:val="0"/>
          <w:color w:val="333333"/>
          <w:spacing w:val="0"/>
          <w:kern w:val="0"/>
          <w:sz w:val="27"/>
          <w:szCs w:val="27"/>
          <w:shd w:val="clear" w:color="auto" w:fill="FFFFFF"/>
          <w:lang w:val="en-US" w:eastAsia="zh-CN" w:bidi="ar"/>
        </w:rPr>
        <w:t>附件：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line="360" w:lineRule="auto"/>
        <w:ind w:left="0" w:right="0" w:firstLine="0"/>
        <w:jc w:val="center"/>
        <w:textAlignment w:val="auto"/>
        <w:rPr>
          <w:rFonts w:hint="default" w:ascii="宋体" w:hAnsi="宋体" w:eastAsia="宋体" w:cs="宋体"/>
          <w:b/>
          <w:bCs/>
          <w:i w:val="0"/>
          <w:iCs w:val="0"/>
          <w:caps w:val="0"/>
          <w:color w:val="auto"/>
          <w:spacing w:val="0"/>
          <w:kern w:val="0"/>
          <w:sz w:val="36"/>
          <w:szCs w:val="36"/>
          <w:shd w:val="clear" w:color="auto" w:fill="FFFFFF"/>
          <w:lang w:val="en-US" w:eastAsia="zh-CN" w:bidi="ar"/>
        </w:rPr>
      </w:pPr>
      <w:r>
        <w:rPr>
          <w:rFonts w:hint="eastAsia" w:ascii="宋体" w:hAnsi="宋体" w:eastAsia="宋体" w:cs="宋体"/>
          <w:b/>
          <w:bCs/>
          <w:i w:val="0"/>
          <w:iCs w:val="0"/>
          <w:caps w:val="0"/>
          <w:color w:val="auto"/>
          <w:spacing w:val="0"/>
          <w:kern w:val="0"/>
          <w:sz w:val="36"/>
          <w:szCs w:val="36"/>
          <w:shd w:val="clear" w:color="auto" w:fill="FFFFFF"/>
          <w:lang w:val="en-US" w:eastAsia="zh-CN" w:bidi="ar"/>
        </w:rPr>
        <w:t>一、相关要求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医疗责任保险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每次每人</w:t>
      </w:r>
      <w:r>
        <w:rPr>
          <w:rFonts w:hint="eastAsia" w:ascii="宋体" w:hAnsi="宋体" w:eastAsia="宋体" w:cs="宋体"/>
          <w:color w:val="auto"/>
          <w:sz w:val="24"/>
          <w:szCs w:val="24"/>
        </w:rPr>
        <w:t>责任限额</w:t>
      </w:r>
      <w:r>
        <w:rPr>
          <w:rFonts w:hint="eastAsia" w:ascii="宋体" w:hAnsi="宋体" w:eastAsia="宋体" w:cs="宋体"/>
          <w:color w:val="auto"/>
          <w:sz w:val="24"/>
          <w:szCs w:val="24"/>
          <w:lang w:val="en-US" w:eastAsia="zh-CN"/>
        </w:rPr>
        <w:t>30万元/人，</w:t>
      </w:r>
      <w:r>
        <w:rPr>
          <w:rFonts w:hint="eastAsia" w:ascii="宋体" w:hAnsi="宋体" w:eastAsia="宋体" w:cs="宋体"/>
          <w:color w:val="auto"/>
          <w:sz w:val="24"/>
          <w:szCs w:val="24"/>
        </w:rPr>
        <w:t>累计责任限额</w:t>
      </w:r>
      <w:r>
        <w:rPr>
          <w:rFonts w:hint="eastAsia" w:ascii="宋体" w:hAnsi="宋体" w:eastAsia="宋体" w:cs="宋体"/>
          <w:color w:val="auto"/>
          <w:sz w:val="24"/>
          <w:szCs w:val="24"/>
          <w:lang w:val="en-US" w:eastAsia="zh-CN"/>
        </w:rPr>
        <w:t>300万元/年</w:t>
      </w:r>
      <w:r>
        <w:rPr>
          <w:rFonts w:hint="eastAsia" w:ascii="宋体" w:hAnsi="宋体" w:eastAsia="宋体" w:cs="宋体"/>
          <w:color w:val="auto"/>
          <w:sz w:val="24"/>
          <w:szCs w:val="24"/>
        </w:rPr>
        <w:t>。</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2.法律费用每次1万元，法律费用累计10万元/年。</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3.每次事故绝对免赔额为1000元或损失金额的5%，两者以高者为准</w:t>
      </w:r>
      <w:r>
        <w:rPr>
          <w:rFonts w:hint="eastAsia" w:ascii="宋体" w:hAnsi="宋体" w:eastAsia="宋体" w:cs="宋体"/>
          <w:color w:val="auto"/>
          <w:sz w:val="24"/>
          <w:szCs w:val="24"/>
        </w:rPr>
        <w:t>。</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rPr>
      </w:pPr>
      <w:r>
        <w:rPr>
          <w:rFonts w:hint="eastAsia" w:ascii="宋体" w:hAnsi="宋体" w:eastAsia="宋体" w:cs="宋体"/>
          <w:color w:val="auto"/>
          <w:sz w:val="24"/>
          <w:szCs w:val="24"/>
          <w:lang w:val="en-US" w:eastAsia="zh-CN"/>
        </w:rPr>
        <w:t>4.保险人仅对承保清单列明的医务人员在相应执业范围内的医疗行为导致的医疗事故承担保险责任:超执业范围行医或非列明医务人员行医所发生的事故，保险人不承担保险责任。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5.参保数据：</w:t>
      </w:r>
      <w:r>
        <w:rPr>
          <w:rFonts w:hint="eastAsia" w:ascii="宋体" w:hAnsi="宋体" w:eastAsia="宋体" w:cs="宋体"/>
          <w:color w:val="auto"/>
          <w:sz w:val="24"/>
          <w:szCs w:val="24"/>
          <w:vertAlign w:val="baseline"/>
          <w:lang w:val="en-US" w:eastAsia="zh-CN"/>
        </w:rPr>
        <w:t>年手术总台数</w:t>
      </w:r>
      <w:r>
        <w:rPr>
          <w:rFonts w:hint="eastAsia" w:ascii="宋体" w:hAnsi="宋体" w:eastAsia="宋体" w:cs="宋体"/>
          <w:color w:val="auto"/>
          <w:sz w:val="24"/>
          <w:szCs w:val="24"/>
          <w:highlight w:val="none"/>
          <w:u w:val="single"/>
          <w:vertAlign w:val="baseline"/>
          <w:lang w:val="en-US" w:eastAsia="zh-CN"/>
        </w:rPr>
        <w:t>8000</w:t>
      </w:r>
      <w:r>
        <w:rPr>
          <w:rFonts w:hint="eastAsia" w:ascii="宋体" w:hAnsi="宋体" w:eastAsia="宋体" w:cs="宋体"/>
          <w:color w:val="auto"/>
          <w:sz w:val="24"/>
          <w:szCs w:val="24"/>
          <w:highlight w:val="none"/>
          <w:vertAlign w:val="baseline"/>
          <w:lang w:val="en-US" w:eastAsia="zh-CN"/>
        </w:rPr>
        <w:t>台</w:t>
      </w:r>
      <w:r>
        <w:rPr>
          <w:rFonts w:hint="eastAsia" w:ascii="宋体" w:hAnsi="宋体" w:eastAsia="宋体" w:cs="宋体"/>
          <w:color w:val="auto"/>
          <w:sz w:val="24"/>
          <w:szCs w:val="24"/>
          <w:vertAlign w:val="baseline"/>
          <w:lang w:val="en-US" w:eastAsia="zh-CN"/>
        </w:rPr>
        <w:t>；</w:t>
      </w:r>
      <w:r>
        <w:rPr>
          <w:rFonts w:hint="eastAsia" w:ascii="宋体" w:hAnsi="宋体" w:eastAsia="宋体" w:cs="宋体"/>
          <w:color w:val="auto"/>
          <w:sz w:val="24"/>
          <w:szCs w:val="24"/>
          <w:lang w:val="en-US" w:eastAsia="zh-CN"/>
        </w:rPr>
        <w:t>住院床位</w:t>
      </w:r>
      <w:r>
        <w:rPr>
          <w:rFonts w:hint="eastAsia" w:ascii="宋体" w:hAnsi="宋体" w:eastAsia="宋体" w:cs="宋体"/>
          <w:color w:val="auto"/>
          <w:sz w:val="24"/>
          <w:szCs w:val="24"/>
          <w:highlight w:val="none"/>
          <w:u w:val="single"/>
          <w:vertAlign w:val="baseline"/>
          <w:lang w:val="en-US" w:eastAsia="zh-CN"/>
        </w:rPr>
        <w:t>1120</w:t>
      </w:r>
      <w:r>
        <w:rPr>
          <w:rFonts w:hint="eastAsia" w:ascii="宋体" w:hAnsi="宋体" w:eastAsia="宋体" w:cs="宋体"/>
          <w:color w:val="auto"/>
          <w:sz w:val="24"/>
          <w:szCs w:val="24"/>
          <w:highlight w:val="none"/>
          <w:vertAlign w:val="baseline"/>
          <w:lang w:val="en-US" w:eastAsia="zh-CN"/>
        </w:rPr>
        <w:t>张</w:t>
      </w:r>
      <w:r>
        <w:rPr>
          <w:rFonts w:hint="eastAsia" w:ascii="宋体" w:hAnsi="宋体" w:eastAsia="宋体" w:cs="宋体"/>
          <w:color w:val="auto"/>
          <w:sz w:val="24"/>
          <w:szCs w:val="24"/>
          <w:vertAlign w:val="baseline"/>
          <w:lang w:val="en-US" w:eastAsia="zh-CN"/>
        </w:rPr>
        <w:t>；参保</w:t>
      </w:r>
      <w:r>
        <w:rPr>
          <w:rFonts w:hint="eastAsia" w:ascii="宋体" w:hAnsi="宋体" w:eastAsia="宋体" w:cs="宋体"/>
          <w:color w:val="auto"/>
          <w:sz w:val="24"/>
          <w:szCs w:val="24"/>
          <w:lang w:val="en-US" w:eastAsia="zh-CN"/>
        </w:rPr>
        <w:t>医务</w:t>
      </w:r>
      <w:r>
        <w:rPr>
          <w:rFonts w:hint="eastAsia" w:ascii="宋体" w:hAnsi="宋体" w:eastAsia="宋体" w:cs="宋体"/>
          <w:color w:val="auto"/>
          <w:sz w:val="24"/>
          <w:szCs w:val="24"/>
          <w:highlight w:val="none"/>
          <w:lang w:val="en-US" w:eastAsia="zh-CN"/>
        </w:rPr>
        <w:t>人员数量估计960名</w:t>
      </w:r>
      <w:r>
        <w:rPr>
          <w:rFonts w:hint="eastAsia" w:ascii="宋体" w:hAnsi="宋体" w:eastAsia="宋体" w:cs="宋体"/>
          <w:color w:val="auto"/>
          <w:sz w:val="24"/>
          <w:szCs w:val="24"/>
          <w:lang w:val="en-US" w:eastAsia="zh-CN"/>
        </w:rPr>
        <w:t>，10%浮动名额不另收保险费。</w:t>
      </w:r>
    </w:p>
    <w:p>
      <w:pPr>
        <w:pStyle w:val="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（二）医务人员职业安全责任保险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1.死亡赔偿限额10万元/人/年，伤残赔偿限额10万元/人/年，医疗费用赔偿限额2万元/人/年，法律费用赔偿限额2万元/人/年，误工补助100 元/天 （总给付日数 180 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2.保险责任：在本保险单明细表中列明的保险期间及承保区域范围内，已投保的被保险人医务人员因下列原因造成人身伤害，依法应由被保险人承担的经济赔偿责任，保险人按照本保险合同约定负责赔偿。</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（1）遭受工伤事故或视同工伤事故的伤害； </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（2）遭受外来非法侵害； </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（3）受到法定传染病传染、感染。</w:t>
      </w:r>
    </w:p>
    <w:p>
      <w:pPr>
        <w:pStyle w:val="5"/>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）公众责任险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主险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累计责任限额100万元</w:t>
      </w:r>
      <w:r>
        <w:rPr>
          <w:rFonts w:hint="eastAsia" w:ascii="宋体" w:hAnsi="宋体" w:cs="宋体"/>
          <w:color w:val="auto"/>
          <w:sz w:val="24"/>
          <w:szCs w:val="24"/>
          <w:lang w:val="en-US" w:eastAsia="zh-CN"/>
        </w:rPr>
        <w:t>/年，每次责任限额40万元/年；</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每次事故财产5万元/年，每次事故人身35万元/年；</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每次每人伤亡10万元，其中：每人医疗1万元。</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2.附加险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附加火灾和爆炸责任（限额与主险一致）</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3.每次事故每人医疗费用，在被保险人依法应承担且符合国家基本医疗保险报销标准的医疗费用基础上，扣除绝对免额人民币100元以后按照95%的比例在相应责任限额内给予赔付；</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4.投保人已如实告知本保单承保的营业区域面积为XX,若实际营业面积大于保单载明的营业面积，保险人按保单载明的营业面积与实际营业面积的比例承担部分赔付责任。</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5.在投保区域内举办的任何比赛、展览、演出等活动均不属于本合同保障范围；</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6.本保单不承担第三者在投保区域内发生猝死及运动性损伤而导致的任何赔偿责任。</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7.本保单法律费率赔偿限额为主险的20%</w:t>
      </w:r>
    </w:p>
    <w:p>
      <w:pPr>
        <w:pStyle w:val="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（四）手术意外保险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1.具有丰富的运营经验。</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2.有固定的工作团队。</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3.所涉险种能覆盖我院主要高风险手术科室，包括：妇科、产科、胸</w:t>
      </w: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HYPERLINK "http://www.myzxyy.com/departments_xwka0/" \t "http://www.myzxyy.com/news_zbgg/2022/_blank" </w:instrText>
      </w:r>
      <w:r>
        <w:rPr>
          <w:rFonts w:hint="eastAsia" w:ascii="宋体" w:hAnsi="宋体" w:cs="宋体"/>
          <w:color w:val="auto"/>
          <w:sz w:val="24"/>
          <w:szCs w:val="24"/>
          <w:lang w:val="en-US" w:eastAsia="zh-CN"/>
        </w:rPr>
        <w:fldChar w:fldCharType="separate"/>
      </w:r>
      <w:r>
        <w:rPr>
          <w:rFonts w:hint="eastAsia" w:ascii="宋体" w:hAnsi="宋体" w:cs="宋体"/>
          <w:color w:val="auto"/>
          <w:sz w:val="24"/>
          <w:szCs w:val="24"/>
          <w:lang w:val="en-US" w:eastAsia="zh-CN"/>
        </w:rPr>
        <w:t>心外科</w:t>
      </w:r>
      <w:r>
        <w:rPr>
          <w:rFonts w:hint="eastAsia" w:ascii="宋体" w:hAnsi="宋体" w:cs="宋体"/>
          <w:color w:val="auto"/>
          <w:sz w:val="24"/>
          <w:szCs w:val="24"/>
          <w:lang w:val="en-US" w:eastAsia="zh-CN"/>
        </w:rPr>
        <w:fldChar w:fldCharType="end"/>
      </w:r>
      <w:r>
        <w:rPr>
          <w:rFonts w:hint="eastAsia" w:ascii="宋体" w:hAnsi="宋体" w:cs="宋体"/>
          <w:color w:val="auto"/>
          <w:sz w:val="24"/>
          <w:szCs w:val="24"/>
          <w:lang w:val="en-US" w:eastAsia="zh-CN"/>
        </w:rPr>
        <w:t>、神经外科、神经内科（神经血管介入手术）、心血管内科（心血管疾病介入手术）、胃肠外科、肝胆外科、甲状腺乳腺外科、泌尿外科、骨科、耳鼻咽喉头颈外科，保费、保额合理。</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4.协助、配合院方进行风险管理。</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5.遵守院方各项制度，重视患者隐私保护。</w:t>
      </w:r>
    </w:p>
    <w:p>
      <w:pPr>
        <w:pStyle w:val="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（五）停车场责任险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累计责任限额50万元</w:t>
      </w:r>
      <w:r>
        <w:rPr>
          <w:rFonts w:hint="eastAsia" w:ascii="宋体" w:hAnsi="宋体" w:cs="宋体"/>
          <w:color w:val="auto"/>
          <w:sz w:val="24"/>
          <w:szCs w:val="24"/>
          <w:lang w:val="en-US" w:eastAsia="zh-CN"/>
        </w:rPr>
        <w:t>/年，每次责任限额20万元/年，每车位责任限额5万元/年。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（六）团体意外险</w:t>
      </w:r>
    </w:p>
    <w:p>
      <w:pPr>
        <w:pStyle w:val="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每人死亡/伤残责任限额50万元，每人医疗费用责任限额5万元。</w:t>
      </w:r>
    </w:p>
    <w:p>
      <w:pPr>
        <w:rPr>
          <w:rFonts w:hint="eastAsia"/>
          <w:b/>
          <w:bCs/>
          <w:sz w:val="36"/>
          <w:szCs w:val="36"/>
          <w:lang w:val="en-US" w:eastAsia="zh-CN"/>
        </w:rPr>
      </w:pPr>
      <w:r>
        <w:rPr>
          <w:rFonts w:hint="eastAsia"/>
          <w:b/>
          <w:bCs/>
          <w:sz w:val="36"/>
          <w:szCs w:val="36"/>
          <w:lang w:val="en-US" w:eastAsia="zh-CN"/>
        </w:rPr>
        <w:br w:type="page"/>
      </w:r>
    </w:p>
    <w:p>
      <w:pPr>
        <w:jc w:val="center"/>
        <w:rPr>
          <w:rFonts w:hint="eastAsia"/>
          <w:b/>
          <w:bCs/>
          <w:sz w:val="36"/>
          <w:szCs w:val="36"/>
          <w:lang w:val="en-US" w:eastAsia="zh-CN"/>
        </w:rPr>
      </w:pPr>
      <w:r>
        <w:rPr>
          <w:rFonts w:hint="eastAsia"/>
          <w:b/>
          <w:bCs/>
          <w:sz w:val="36"/>
          <w:szCs w:val="36"/>
          <w:lang w:val="en-US" w:eastAsia="zh-CN"/>
        </w:rPr>
        <w:t>二、报价单</w:t>
      </w:r>
    </w:p>
    <w:p>
      <w:pPr>
        <w:pStyle w:val="5"/>
        <w:rPr>
          <w:rFonts w:hint="eastAsia"/>
          <w:lang w:val="en-US" w:eastAsia="zh-CN"/>
        </w:rPr>
      </w:pPr>
    </w:p>
    <w:p>
      <w:pPr>
        <w:numPr>
          <w:ilvl w:val="0"/>
          <w:numId w:val="0"/>
        </w:numP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供应商名称（盖章）：</w:t>
      </w:r>
    </w:p>
    <w:tbl>
      <w:tblPr>
        <w:tblStyle w:val="8"/>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1935"/>
        <w:gridCol w:w="1909"/>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1746" w:type="pct"/>
            <w:noWrap w:val="0"/>
            <w:vAlign w:val="center"/>
          </w:tcPr>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项目名称</w:t>
            </w:r>
          </w:p>
        </w:tc>
        <w:tc>
          <w:tcPr>
            <w:tcW w:w="1124" w:type="pct"/>
            <w:noWrap w:val="0"/>
            <w:vAlign w:val="center"/>
          </w:tcPr>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数量</w:t>
            </w:r>
          </w:p>
        </w:tc>
        <w:tc>
          <w:tcPr>
            <w:tcW w:w="1109" w:type="pct"/>
            <w:noWrap w:val="0"/>
            <w:vAlign w:val="center"/>
          </w:tcPr>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报价（元）</w:t>
            </w:r>
          </w:p>
        </w:tc>
        <w:tc>
          <w:tcPr>
            <w:tcW w:w="1020" w:type="pct"/>
            <w:noWrap w:val="0"/>
            <w:vAlign w:val="center"/>
          </w:tcPr>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746" w:type="pct"/>
            <w:noWrap w:val="0"/>
            <w:vAlign w:val="center"/>
          </w:tcPr>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资阳市第一人民医院</w:t>
            </w:r>
          </w:p>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一揽子保险服务</w:t>
            </w:r>
          </w:p>
        </w:tc>
        <w:tc>
          <w:tcPr>
            <w:tcW w:w="1124" w:type="pct"/>
            <w:noWrap w:val="0"/>
            <w:vAlign w:val="center"/>
          </w:tcPr>
          <w:p>
            <w:pPr>
              <w:pStyle w:val="2"/>
              <w:numPr>
                <w:ilvl w:val="0"/>
                <w:numId w:val="0"/>
              </w:numPr>
              <w:spacing w:line="360" w:lineRule="auto"/>
              <w:jc w:val="center"/>
              <w:rPr>
                <w:rFonts w:hint="default"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3年</w:t>
            </w:r>
          </w:p>
        </w:tc>
        <w:tc>
          <w:tcPr>
            <w:tcW w:w="1109" w:type="pct"/>
            <w:noWrap w:val="0"/>
            <w:vAlign w:val="center"/>
          </w:tcPr>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p>
        </w:tc>
        <w:tc>
          <w:tcPr>
            <w:tcW w:w="1020" w:type="pct"/>
            <w:noWrap w:val="0"/>
            <w:vAlign w:val="center"/>
          </w:tcPr>
          <w:p>
            <w:pPr>
              <w:pStyle w:val="2"/>
              <w:numPr>
                <w:ilvl w:val="0"/>
                <w:numId w:val="0"/>
              </w:numPr>
              <w:spacing w:line="360" w:lineRule="auto"/>
              <w:jc w:val="center"/>
              <w:rPr>
                <w:rFonts w:hint="eastAsia" w:ascii="宋体" w:hAnsi="宋体" w:eastAsia="宋体" w:cs="宋体"/>
                <w:color w:val="333333"/>
                <w:kern w:val="0"/>
                <w:sz w:val="27"/>
                <w:szCs w:val="27"/>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合计（元）：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联系人：                             联系电话：</w:t>
            </w:r>
          </w:p>
        </w:tc>
      </w:tr>
    </w:tbl>
    <w:p>
      <w:pPr>
        <w:sectPr>
          <w:footerReference r:id="rId3" w:type="default"/>
          <w:pgSz w:w="11906" w:h="16838"/>
          <w:pgMar w:top="1440" w:right="1800" w:bottom="1440" w:left="1800" w:header="851" w:footer="992" w:gutter="0"/>
          <w:cols w:space="720" w:num="1"/>
          <w:docGrid w:type="lines" w:linePitch="312" w:charSpace="0"/>
        </w:sectPr>
      </w:pPr>
    </w:p>
    <w:p>
      <w:pPr>
        <w:jc w:val="center"/>
        <w:rPr>
          <w:rFonts w:hint="eastAsia" w:eastAsia="宋体" w:cs="Times New Roman"/>
          <w:b/>
          <w:bCs/>
          <w:sz w:val="36"/>
          <w:szCs w:val="36"/>
          <w:lang w:val="en-US" w:eastAsia="zh-CN"/>
        </w:rPr>
      </w:pPr>
      <w:r>
        <w:rPr>
          <w:rFonts w:hint="eastAsia" w:eastAsia="宋体" w:cs="Times New Roman"/>
          <w:b/>
          <w:bCs/>
          <w:sz w:val="36"/>
          <w:szCs w:val="36"/>
          <w:lang w:val="en-US" w:eastAsia="zh-CN"/>
        </w:rPr>
        <w:t>三、分项报价表</w:t>
      </w:r>
    </w:p>
    <w:p>
      <w:pPr>
        <w:numPr>
          <w:ilvl w:val="0"/>
          <w:numId w:val="0"/>
        </w:numPr>
        <w:jc w:val="center"/>
        <w:rPr>
          <w:rFonts w:hint="default" w:ascii="宋体" w:hAnsi="宋体" w:eastAsia="宋体" w:cs="宋体"/>
          <w:color w:val="333333"/>
          <w:kern w:val="0"/>
          <w:sz w:val="27"/>
          <w:szCs w:val="27"/>
          <w:highlight w:val="none"/>
          <w:shd w:val="clear" w:color="auto" w:fill="FFFFFF"/>
          <w:lang w:val="en-US" w:eastAsia="zh-CN" w:bidi="ar"/>
        </w:rPr>
      </w:pPr>
      <w:r>
        <w:rPr>
          <w:rFonts w:hint="eastAsia" w:ascii="宋体" w:hAnsi="宋体" w:eastAsia="宋体" w:cs="宋体"/>
          <w:color w:val="333333"/>
          <w:kern w:val="0"/>
          <w:sz w:val="27"/>
          <w:szCs w:val="27"/>
          <w:highlight w:val="none"/>
          <w:shd w:val="clear" w:color="auto" w:fill="FFFFFF"/>
          <w:lang w:val="en-US" w:eastAsia="zh-CN" w:bidi="ar"/>
        </w:rPr>
        <w:t>（供应商可根据实际需要增减行、列）</w:t>
      </w:r>
    </w:p>
    <w:p>
      <w:pPr>
        <w:numPr>
          <w:ilvl w:val="0"/>
          <w:numId w:val="0"/>
        </w:numPr>
        <w:rPr>
          <w:rFonts w:hint="eastAsia" w:ascii="宋体" w:hAnsi="宋体" w:eastAsia="宋体" w:cs="宋体"/>
          <w:color w:val="333333"/>
          <w:kern w:val="0"/>
          <w:sz w:val="27"/>
          <w:szCs w:val="27"/>
          <w:shd w:val="clear" w:color="auto" w:fill="FFFFFF"/>
          <w:lang w:val="en-US" w:eastAsia="zh-CN" w:bidi="ar"/>
        </w:rPr>
      </w:pPr>
      <w:r>
        <w:rPr>
          <w:rFonts w:hint="eastAsia" w:ascii="宋体" w:hAnsi="宋体" w:eastAsia="宋体" w:cs="宋体"/>
          <w:color w:val="333333"/>
          <w:kern w:val="0"/>
          <w:sz w:val="27"/>
          <w:szCs w:val="27"/>
          <w:shd w:val="clear" w:color="auto" w:fill="FFFFFF"/>
          <w:lang w:val="en-US" w:eastAsia="zh-CN" w:bidi="ar"/>
        </w:rPr>
        <w:t>供应商名称（盖章）：</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23"/>
        <w:gridCol w:w="1235"/>
        <w:gridCol w:w="1334"/>
        <w:gridCol w:w="1334"/>
        <w:gridCol w:w="133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80"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项目名称</w:t>
            </w:r>
          </w:p>
        </w:tc>
        <w:tc>
          <w:tcPr>
            <w:tcW w:w="777"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险种</w:t>
            </w:r>
          </w:p>
        </w:tc>
        <w:tc>
          <w:tcPr>
            <w:tcW w:w="725"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项目</w:t>
            </w:r>
          </w:p>
        </w:tc>
        <w:tc>
          <w:tcPr>
            <w:tcW w:w="783"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报价</w:t>
            </w:r>
          </w:p>
        </w:tc>
        <w:tc>
          <w:tcPr>
            <w:tcW w:w="783"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数量</w:t>
            </w:r>
          </w:p>
        </w:tc>
        <w:tc>
          <w:tcPr>
            <w:tcW w:w="783"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合计</w:t>
            </w:r>
          </w:p>
        </w:tc>
        <w:tc>
          <w:tcPr>
            <w:tcW w:w="668"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restar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资阳市第一人民医院</w:t>
            </w:r>
          </w:p>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一揽子保险</w:t>
            </w:r>
          </w:p>
        </w:tc>
        <w:tc>
          <w:tcPr>
            <w:tcW w:w="777" w:type="pct"/>
            <w:vMerge w:val="restar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医疗责任保险</w:t>
            </w:r>
          </w:p>
        </w:tc>
        <w:tc>
          <w:tcPr>
            <w:tcW w:w="725"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手术人次保险费</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XX元/人次</w:t>
            </w:r>
          </w:p>
        </w:tc>
        <w:tc>
          <w:tcPr>
            <w:tcW w:w="1334" w:type="dxa"/>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sz w:val="24"/>
                <w:szCs w:val="24"/>
                <w:highlight w:val="none"/>
                <w:vertAlign w:val="baseline"/>
                <w:lang w:val="en-US" w:eastAsia="zh-CN"/>
              </w:rPr>
              <w:t>8000台</w:t>
            </w:r>
          </w:p>
        </w:tc>
        <w:tc>
          <w:tcPr>
            <w:tcW w:w="783"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continue"/>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p>
        </w:tc>
        <w:tc>
          <w:tcPr>
            <w:tcW w:w="777" w:type="pct"/>
            <w:vMerge w:val="continue"/>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p>
        </w:tc>
        <w:tc>
          <w:tcPr>
            <w:tcW w:w="725"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住院床位保险费</w:t>
            </w:r>
          </w:p>
        </w:tc>
        <w:tc>
          <w:tcPr>
            <w:tcW w:w="783"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XX</w:t>
            </w:r>
            <w:r>
              <w:rPr>
                <w:rFonts w:hint="eastAsia" w:ascii="宋体" w:hAnsi="宋体" w:eastAsia="宋体" w:cs="宋体"/>
                <w:color w:val="auto"/>
                <w:sz w:val="24"/>
                <w:szCs w:val="24"/>
                <w:lang w:val="en-US" w:eastAsia="zh-CN"/>
              </w:rPr>
              <w:t>元/床</w:t>
            </w:r>
          </w:p>
        </w:tc>
        <w:tc>
          <w:tcPr>
            <w:tcW w:w="1334" w:type="dxa"/>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sz w:val="24"/>
                <w:szCs w:val="24"/>
                <w:highlight w:val="none"/>
                <w:vertAlign w:val="baseline"/>
                <w:lang w:val="en-US" w:eastAsia="zh-CN"/>
              </w:rPr>
              <w:t>1120张</w:t>
            </w:r>
          </w:p>
        </w:tc>
        <w:tc>
          <w:tcPr>
            <w:tcW w:w="783"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77"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25"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医务人员保险费</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XX元/人</w:t>
            </w:r>
          </w:p>
        </w:tc>
        <w:tc>
          <w:tcPr>
            <w:tcW w:w="1334" w:type="dxa"/>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960人</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77"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医务人员职业安全责任保险</w:t>
            </w:r>
          </w:p>
        </w:tc>
        <w:tc>
          <w:tcPr>
            <w:tcW w:w="725"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每人保费</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XX元/人</w:t>
            </w:r>
          </w:p>
        </w:tc>
        <w:tc>
          <w:tcPr>
            <w:tcW w:w="1334" w:type="dxa"/>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210人</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77" w:type="pct"/>
            <w:vMerge w:val="restar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公众责任险</w:t>
            </w:r>
          </w:p>
        </w:tc>
        <w:tc>
          <w:tcPr>
            <w:tcW w:w="725"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主险</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
              </w:rPr>
            </w:pP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77"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25"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附加险</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
              </w:rPr>
            </w:pP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77"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停车场责任险</w:t>
            </w:r>
          </w:p>
        </w:tc>
        <w:tc>
          <w:tcPr>
            <w:tcW w:w="725"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每车位保费</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XX元/车位</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800个</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pct"/>
            <w:vMerge w:val="continue"/>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777" w:type="pct"/>
            <w:noWrap w:val="0"/>
            <w:vAlign w:val="center"/>
          </w:tcPr>
          <w:p>
            <w:pPr>
              <w:pStyle w:val="2"/>
              <w:numPr>
                <w:ilvl w:val="0"/>
                <w:numId w:val="0"/>
              </w:numPr>
              <w:spacing w:line="360" w:lineRule="auto"/>
              <w:ind w:left="0" w:leftChars="0" w:firstLine="0" w:firstLineChars="0"/>
              <w:jc w:val="center"/>
              <w:rPr>
                <w:rFonts w:hint="default"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团体意外险</w:t>
            </w:r>
          </w:p>
        </w:tc>
        <w:tc>
          <w:tcPr>
            <w:tcW w:w="725" w:type="pct"/>
            <w:noWrap w:val="0"/>
            <w:vAlign w:val="center"/>
          </w:tcPr>
          <w:p>
            <w:pPr>
              <w:pStyle w:val="2"/>
              <w:numPr>
                <w:ilvl w:val="0"/>
                <w:numId w:val="0"/>
              </w:numPr>
              <w:spacing w:line="360" w:lineRule="auto"/>
              <w:ind w:left="0" w:leftChars="0" w:firstLine="0" w:firstLineChars="0"/>
              <w:jc w:val="center"/>
              <w:rPr>
                <w:rFonts w:hint="default"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每人保费</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auto"/>
                <w:sz w:val="24"/>
                <w:szCs w:val="24"/>
                <w:lang w:val="en-US" w:eastAsia="zh-CN"/>
              </w:rPr>
              <w:t>XX元/人</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20人</w:t>
            </w:r>
          </w:p>
        </w:tc>
        <w:tc>
          <w:tcPr>
            <w:tcW w:w="783"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c>
          <w:tcPr>
            <w:tcW w:w="668" w:type="pct"/>
            <w:noWrap w:val="0"/>
            <w:vAlign w:val="center"/>
          </w:tcPr>
          <w:p>
            <w:pPr>
              <w:pStyle w:val="2"/>
              <w:numPr>
                <w:ilvl w:val="0"/>
                <w:numId w:val="0"/>
              </w:numPr>
              <w:spacing w:line="360" w:lineRule="auto"/>
              <w:ind w:left="0" w:leftChars="0" w:firstLine="0" w:firstLineChars="0"/>
              <w:jc w:val="center"/>
              <w:rPr>
                <w:rFonts w:hint="eastAsia" w:ascii="宋体" w:hAnsi="宋体" w:eastAsia="宋体" w:cs="宋体"/>
                <w:color w:val="33333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000"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合计（元）：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000" w:type="pct"/>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联系人：                             联系电话：</w:t>
            </w:r>
          </w:p>
        </w:tc>
      </w:tr>
    </w:tbl>
    <w:p>
      <w:pPr>
        <w:jc w:val="center"/>
        <w:rPr>
          <w:rFonts w:hint="default" w:eastAsia="宋体" w:cs="Times New Roman"/>
          <w:b/>
          <w:bCs/>
          <w:sz w:val="36"/>
          <w:szCs w:val="36"/>
          <w:lang w:val="en-US" w:eastAsia="zh-CN"/>
        </w:rPr>
      </w:pPr>
    </w:p>
    <w:p>
      <w:pPr>
        <w:numPr>
          <w:ilvl w:val="0"/>
          <w:numId w:val="0"/>
        </w:numPr>
        <w:jc w:val="both"/>
        <w:rPr>
          <w:rFonts w:hint="default" w:ascii="仿宋" w:hAnsi="仿宋" w:eastAsia="仿宋" w:cs="仿宋"/>
          <w:b w:val="0"/>
          <w:bCs w:val="0"/>
          <w:i w:val="0"/>
          <w:iCs w:val="0"/>
          <w:caps w:val="0"/>
          <w:color w:val="auto"/>
          <w:spacing w:val="0"/>
          <w:sz w:val="32"/>
          <w:szCs w:val="32"/>
          <w:highlight w:val="none"/>
          <w:u w:val="none"/>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ZjQwZjYzMzg4YmM4YmZlYTRlNGRlZmI5MDNlY2UifQ=="/>
  </w:docVars>
  <w:rsids>
    <w:rsidRoot w:val="72211205"/>
    <w:rsid w:val="00810C03"/>
    <w:rsid w:val="008473A5"/>
    <w:rsid w:val="020617E0"/>
    <w:rsid w:val="030A6AE8"/>
    <w:rsid w:val="04043713"/>
    <w:rsid w:val="04115E30"/>
    <w:rsid w:val="0613414C"/>
    <w:rsid w:val="064C13A1"/>
    <w:rsid w:val="067F7EA6"/>
    <w:rsid w:val="08AE7DFD"/>
    <w:rsid w:val="09A50080"/>
    <w:rsid w:val="09B3041A"/>
    <w:rsid w:val="0DC87621"/>
    <w:rsid w:val="0F446672"/>
    <w:rsid w:val="0F9811B3"/>
    <w:rsid w:val="0FAE09D7"/>
    <w:rsid w:val="107F7EAF"/>
    <w:rsid w:val="10BD6F35"/>
    <w:rsid w:val="10CD7582"/>
    <w:rsid w:val="126F3EF2"/>
    <w:rsid w:val="12B345CA"/>
    <w:rsid w:val="15B76451"/>
    <w:rsid w:val="169923E1"/>
    <w:rsid w:val="1BD47A17"/>
    <w:rsid w:val="1C7A4287"/>
    <w:rsid w:val="1E601647"/>
    <w:rsid w:val="1F672166"/>
    <w:rsid w:val="2076109D"/>
    <w:rsid w:val="25874118"/>
    <w:rsid w:val="25E46AA9"/>
    <w:rsid w:val="29C67BB2"/>
    <w:rsid w:val="2B543C3C"/>
    <w:rsid w:val="2C7F1F64"/>
    <w:rsid w:val="2CA90A4C"/>
    <w:rsid w:val="2D244788"/>
    <w:rsid w:val="31E10F22"/>
    <w:rsid w:val="32CA2E2D"/>
    <w:rsid w:val="34505660"/>
    <w:rsid w:val="3576787D"/>
    <w:rsid w:val="362058DB"/>
    <w:rsid w:val="368D102E"/>
    <w:rsid w:val="382C7C75"/>
    <w:rsid w:val="38C452B5"/>
    <w:rsid w:val="38ED7221"/>
    <w:rsid w:val="3A6502A6"/>
    <w:rsid w:val="3AA3223A"/>
    <w:rsid w:val="3AA54601"/>
    <w:rsid w:val="3AB57B20"/>
    <w:rsid w:val="3B530501"/>
    <w:rsid w:val="3BC16B15"/>
    <w:rsid w:val="3C9A4DC3"/>
    <w:rsid w:val="3CCA47F2"/>
    <w:rsid w:val="3D1102B8"/>
    <w:rsid w:val="3ED965E3"/>
    <w:rsid w:val="407B2761"/>
    <w:rsid w:val="40C12EC9"/>
    <w:rsid w:val="40E276F7"/>
    <w:rsid w:val="40ED6D01"/>
    <w:rsid w:val="42016373"/>
    <w:rsid w:val="421107CE"/>
    <w:rsid w:val="42D71543"/>
    <w:rsid w:val="435B43F6"/>
    <w:rsid w:val="43C479FE"/>
    <w:rsid w:val="44071B29"/>
    <w:rsid w:val="44087B85"/>
    <w:rsid w:val="45F8203A"/>
    <w:rsid w:val="482F19AD"/>
    <w:rsid w:val="48D50670"/>
    <w:rsid w:val="48DF4DDE"/>
    <w:rsid w:val="48FD6371"/>
    <w:rsid w:val="49513F15"/>
    <w:rsid w:val="4963590A"/>
    <w:rsid w:val="498227B7"/>
    <w:rsid w:val="4AB12EA2"/>
    <w:rsid w:val="4B1E0BDC"/>
    <w:rsid w:val="4B306168"/>
    <w:rsid w:val="4CB77E65"/>
    <w:rsid w:val="4CC24345"/>
    <w:rsid w:val="4D5F3D23"/>
    <w:rsid w:val="4E035DB6"/>
    <w:rsid w:val="5108607B"/>
    <w:rsid w:val="52BE22AC"/>
    <w:rsid w:val="53CC09F8"/>
    <w:rsid w:val="541E330F"/>
    <w:rsid w:val="54862089"/>
    <w:rsid w:val="560C77D2"/>
    <w:rsid w:val="56473E82"/>
    <w:rsid w:val="571B5F1F"/>
    <w:rsid w:val="575A4778"/>
    <w:rsid w:val="583160A1"/>
    <w:rsid w:val="58B24661"/>
    <w:rsid w:val="593B28A8"/>
    <w:rsid w:val="5ABD3488"/>
    <w:rsid w:val="5D180AF4"/>
    <w:rsid w:val="5ECC3F6D"/>
    <w:rsid w:val="5FD255E8"/>
    <w:rsid w:val="5FFC5274"/>
    <w:rsid w:val="62F80177"/>
    <w:rsid w:val="635A1B7D"/>
    <w:rsid w:val="63925819"/>
    <w:rsid w:val="63F36A7C"/>
    <w:rsid w:val="63F529E4"/>
    <w:rsid w:val="64563902"/>
    <w:rsid w:val="652367A9"/>
    <w:rsid w:val="66203063"/>
    <w:rsid w:val="663761A5"/>
    <w:rsid w:val="67294062"/>
    <w:rsid w:val="69C73CE4"/>
    <w:rsid w:val="6A513C08"/>
    <w:rsid w:val="6A6E6389"/>
    <w:rsid w:val="6AB73D58"/>
    <w:rsid w:val="6C1B1A70"/>
    <w:rsid w:val="6C4E32C7"/>
    <w:rsid w:val="6C825147"/>
    <w:rsid w:val="6E587601"/>
    <w:rsid w:val="6E6935BC"/>
    <w:rsid w:val="6EC719AA"/>
    <w:rsid w:val="6F241291"/>
    <w:rsid w:val="6F4F4560"/>
    <w:rsid w:val="706978A3"/>
    <w:rsid w:val="707204FE"/>
    <w:rsid w:val="70EF75DD"/>
    <w:rsid w:val="719274C8"/>
    <w:rsid w:val="71C9096A"/>
    <w:rsid w:val="72211205"/>
    <w:rsid w:val="72B1108D"/>
    <w:rsid w:val="7448079E"/>
    <w:rsid w:val="74EF05C6"/>
    <w:rsid w:val="754D6952"/>
    <w:rsid w:val="75B055B2"/>
    <w:rsid w:val="770760EE"/>
    <w:rsid w:val="7DAF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4"/>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autoRedefine/>
    <w:qFormat/>
    <w:uiPriority w:val="0"/>
    <w:pPr>
      <w:spacing w:line="480" w:lineRule="auto"/>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99"/>
    <w:pPr>
      <w:ind w:left="180" w:firstLine="480"/>
    </w:pPr>
  </w:style>
  <w:style w:type="table" w:customStyle="1" w:styleId="11">
    <w:name w:val="网格表 4 - 着色 31"/>
    <w:basedOn w:val="7"/>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2024-01-22T01:44:00Z</dcterms:created>
  <dc:creator>李旭</dc:creator>
  <cp:lastModifiedBy>李旭</cp:lastModifiedBy>
  <dcterms:modified xsi:type="dcterms:W3CDTF">2024-01-31T06:38:32Z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32966DE64F3C46EBB496DBF259D5FB57_11</vt:lpwstr>
  </property>
</Properties>
</file>