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资阳市第一人民</w:t>
      </w:r>
      <w:r>
        <w:rPr>
          <w:rFonts w:hint="eastAsia" w:ascii="宋体" w:hAnsi="宋体" w:cs="宋体"/>
          <w:b/>
          <w:bCs/>
          <w:spacing w:val="-12"/>
          <w:sz w:val="48"/>
          <w:szCs w:val="48"/>
          <w:lang w:val="en-US" w:eastAsia="zh-CN"/>
        </w:rPr>
        <w:t>医院消毒供应追溯系统升级维护服务</w:t>
      </w:r>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一</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80296779"/>
      <w:bookmarkStart w:id="1" w:name="_Toc173895837"/>
      <w:bookmarkStart w:id="2" w:name="_Toc211679176"/>
      <w:bookmarkStart w:id="3" w:name="_Toc173895652"/>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消毒供应追溯系统升级维护服务</w:t>
      </w:r>
      <w:r>
        <w:rPr>
          <w:rFonts w:hint="eastAsia" w:ascii="宋体" w:hAnsi="宋体" w:cs="宋体"/>
          <w:b/>
          <w:bCs/>
          <w:kern w:val="0"/>
          <w:u w:val="single"/>
        </w:rPr>
        <w:t>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二、比选项目：资阳市第一人民医院</w:t>
      </w:r>
      <w:r>
        <w:rPr>
          <w:rFonts w:hint="eastAsia" w:ascii="宋体" w:hAnsi="宋体" w:cs="宋体"/>
          <w:b/>
          <w:bCs/>
          <w:kern w:val="0"/>
          <w:lang w:val="en-US" w:eastAsia="zh-CN"/>
        </w:rPr>
        <w:t>消毒供应追溯系统升级维护服务</w:t>
      </w:r>
      <w:r>
        <w:rPr>
          <w:rFonts w:hint="eastAsia" w:ascii="宋体" w:hAnsi="宋体" w:cs="宋体"/>
          <w:b/>
          <w:bCs/>
          <w:kern w:val="0"/>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消毒供应追溯系统升级维护服务</w:t>
      </w:r>
      <w:r>
        <w:rPr>
          <w:rFonts w:hint="eastAsia" w:ascii="宋体" w:hAnsi="宋体" w:cs="宋体"/>
          <w:spacing w:val="-4"/>
        </w:rPr>
        <w:t>。本项目最高限价</w:t>
      </w:r>
      <w:r>
        <w:rPr>
          <w:rFonts w:hint="eastAsia" w:ascii="宋体" w:hAnsi="宋体" w:cs="宋体"/>
          <w:spacing w:val="-4"/>
          <w:lang w:val="en-US" w:eastAsia="zh-CN"/>
        </w:rPr>
        <w:t>9.6</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4</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bookmarkEnd w:id="5"/>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9</w:t>
      </w:r>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1</w:t>
      </w:r>
      <w:r>
        <w:rPr>
          <w:rFonts w:hint="eastAsia" w:ascii="宋体" w:hAnsi="宋体" w:cs="宋体"/>
          <w:spacing w:val="-6"/>
          <w:kern w:val="0"/>
        </w:rPr>
        <w:t>月</w:t>
      </w:r>
      <w:r>
        <w:rPr>
          <w:rFonts w:hint="eastAsia" w:ascii="宋体" w:hAnsi="宋体" w:cs="宋体"/>
          <w:spacing w:val="-6"/>
          <w:kern w:val="0"/>
          <w:u w:val="single"/>
          <w:lang w:val="en-US" w:eastAsia="zh-CN"/>
        </w:rPr>
        <w:t>10</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5</w:t>
      </w:r>
      <w:r>
        <w:rPr>
          <w:rFonts w:hint="eastAsia" w:ascii="宋体" w:hAnsi="宋体" w:cs="宋体"/>
          <w:spacing w:val="-6"/>
          <w:kern w:val="0"/>
        </w:rPr>
        <w:t>：</w:t>
      </w:r>
      <w:r>
        <w:rPr>
          <w:rFonts w:hint="eastAsia" w:ascii="宋体" w:hAnsi="宋体" w:cs="宋体"/>
          <w:spacing w:val="-6"/>
          <w:kern w:val="0"/>
          <w:lang w:val="en-US" w:eastAsia="zh-CN"/>
        </w:rPr>
        <w:t>3</w:t>
      </w:r>
      <w:r>
        <w:rPr>
          <w:rFonts w:hint="eastAsia" w:ascii="宋体" w:hAnsi="宋体" w:cs="宋体"/>
          <w:spacing w:val="-6"/>
          <w:kern w:val="0"/>
        </w:rPr>
        <w:t>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211679177"/>
      <w:bookmarkStart w:id="9" w:name="_Toc173895653"/>
      <w:bookmarkStart w:id="10" w:name="_Toc173895838"/>
      <w:bookmarkStart w:id="11" w:name="_Toc180296780"/>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80296782"/>
      <w:bookmarkStart w:id="14" w:name="_Toc173895840"/>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210211733"/>
      <w:bookmarkStart w:id="17" w:name="_Toc177466666"/>
      <w:bookmarkStart w:id="18"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211679181"/>
      <w:bookmarkStart w:id="20" w:name="_Toc180296784"/>
      <w:bookmarkStart w:id="21" w:name="_Toc173895842"/>
      <w:bookmarkStart w:id="22" w:name="_Toc173895657"/>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消毒供应追溯系统升级维护服务，服务期限三年</w:t>
      </w:r>
      <w:r>
        <w:rPr>
          <w:rFonts w:hint="eastAsia" w:ascii="宋体" w:hAnsi="宋体" w:cs="宋体"/>
          <w:spacing w:val="-4"/>
        </w:rPr>
        <w:t>。</w:t>
      </w:r>
      <w:r>
        <w:rPr>
          <w:rFonts w:hint="eastAsia" w:hAnsi="宋体"/>
          <w:kern w:val="0"/>
        </w:rPr>
        <w:t>本项目最高限价</w:t>
      </w:r>
      <w:r>
        <w:rPr>
          <w:rFonts w:hint="eastAsia"/>
          <w:lang w:val="en-US" w:eastAsia="zh-CN"/>
        </w:rPr>
        <w:t>9.6</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消毒供应追溯系统升级维护服务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9.6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9.6</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hint="eastAsia" w:ascii="宋体" w:hAnsi="宋体"/>
          <w:lang w:val="en-US" w:eastAsia="zh-CN"/>
        </w:rPr>
        <w:t>1</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lang w:val="en-US" w:eastAsia="zh-CN"/>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维护服务费按年计算。采用先使用后付费，</w:t>
      </w:r>
      <w:r>
        <w:rPr>
          <w:rFonts w:hint="eastAsia" w:ascii="宋体" w:hAnsi="宋体" w:cs="宋体"/>
          <w:color w:val="auto"/>
          <w:lang w:val="en-US" w:eastAsia="zh-CN"/>
        </w:rPr>
        <w:t>本年度</w:t>
      </w:r>
      <w:r>
        <w:rPr>
          <w:rFonts w:hint="eastAsia" w:ascii="宋体" w:hAnsi="宋体" w:cs="宋体"/>
          <w:color w:val="auto"/>
          <w:sz w:val="22"/>
          <w:szCs w:val="22"/>
          <w:lang w:val="en-US" w:eastAsia="zh-CN"/>
        </w:rPr>
        <w:t>服务</w:t>
      </w:r>
      <w:r>
        <w:rPr>
          <w:rFonts w:hint="eastAsia" w:ascii="宋体" w:hAnsi="宋体" w:cs="宋体"/>
          <w:color w:val="auto"/>
          <w:lang w:val="en-US" w:eastAsia="zh-CN"/>
        </w:rPr>
        <w:t>时间满一年后乙方向甲方</w:t>
      </w:r>
      <w:r>
        <w:rPr>
          <w:rFonts w:hint="eastAsia" w:ascii="宋体" w:hAnsi="宋体" w:cs="宋体"/>
          <w:color w:val="auto"/>
        </w:rPr>
        <w:t>出具合法有效完整的完税发票及凭证资料</w:t>
      </w:r>
      <w:r>
        <w:rPr>
          <w:rFonts w:hint="eastAsia" w:ascii="宋体" w:hAnsi="宋体" w:cs="宋体"/>
          <w:color w:val="auto"/>
          <w:lang w:eastAsia="zh-CN"/>
        </w:rPr>
        <w:t>、</w:t>
      </w:r>
      <w:r>
        <w:rPr>
          <w:rFonts w:hint="eastAsia" w:ascii="宋体" w:hAnsi="宋体" w:cs="宋体"/>
          <w:color w:val="auto"/>
          <w:lang w:val="en-US" w:eastAsia="zh-CN"/>
        </w:rPr>
        <w:t>本年度每季度巡访记录纸质文档（必须要有使用科室负责人签字确认）</w:t>
      </w:r>
      <w:r>
        <w:rPr>
          <w:rFonts w:hint="eastAsia" w:ascii="宋体" w:hAnsi="宋体" w:cs="宋体"/>
          <w:color w:val="auto"/>
        </w:rPr>
        <w:t>进行支付结算</w:t>
      </w:r>
      <w:r>
        <w:rPr>
          <w:rFonts w:hint="eastAsia" w:ascii="宋体" w:hAnsi="宋体" w:cs="宋体"/>
          <w:color w:val="auto"/>
          <w:lang w:val="en-US" w:eastAsia="zh-CN"/>
        </w:rPr>
        <w:t>申请</w:t>
      </w:r>
      <w:r>
        <w:rPr>
          <w:rFonts w:hint="eastAsia" w:ascii="宋体" w:hAnsi="宋体" w:cs="宋体"/>
          <w:color w:val="auto"/>
        </w:rPr>
        <w:t>。</w:t>
      </w:r>
      <w:r>
        <w:rPr>
          <w:rFonts w:hint="eastAsia" w:ascii="宋体" w:hAnsi="宋体" w:cs="宋体"/>
          <w:color w:val="auto"/>
          <w:lang w:val="en-US" w:eastAsia="zh-CN"/>
        </w:rPr>
        <w:t>甲方在收到申请并核对资料无问题后</w:t>
      </w:r>
      <w:r>
        <w:rPr>
          <w:rFonts w:hint="eastAsia" w:ascii="宋体" w:hAnsi="宋体" w:eastAsia="宋体" w:cs="宋体"/>
          <w:color w:val="auto"/>
          <w:lang w:val="en-US" w:eastAsia="zh-CN"/>
        </w:rPr>
        <w:t>30个工作日内支付。每年一次，共记三次。</w:t>
      </w:r>
    </w:p>
    <w:p>
      <w:pPr>
        <w:ind w:firstLine="48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如因乙方未取得甲方许可，私自接入甲方系统或进行操作给甲方造成损失或侵害，由此带来的甲方所有损失均由乙方承担。另：出现一次此类情况扣除当年维护费的5%。</w:t>
      </w:r>
    </w:p>
    <w:p>
      <w:pPr>
        <w:ind w:firstLine="480"/>
        <w:rPr>
          <w:rFonts w:hint="eastAsia" w:ascii="宋体" w:hAnsi="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由于乙方维护不及时或者维护中出现失误等情况给甲方造成的一切损失，由乙方全部承担。另：出现一次此类情况扣除当年维护费的5%。</w:t>
      </w:r>
    </w:p>
    <w:p>
      <w:pPr>
        <w:spacing w:line="276" w:lineRule="auto"/>
        <w:rPr>
          <w:b/>
        </w:rPr>
      </w:pPr>
      <w:r>
        <w:rPr>
          <w:rFonts w:hint="eastAsia"/>
          <w:b/>
        </w:rPr>
        <w:t>3. 售后</w:t>
      </w:r>
      <w:r>
        <w:rPr>
          <w:b/>
        </w:rPr>
        <w:t>服务</w:t>
      </w:r>
    </w:p>
    <w:p>
      <w:pPr>
        <w:pStyle w:val="2"/>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rPr>
          <w:rFonts w:hint="eastAsia" w:ascii="宋体" w:hAnsi="宋体" w:cs="宋体"/>
        </w:rPr>
      </w:pPr>
      <w:r>
        <w:rPr>
          <w:rFonts w:hint="eastAsia"/>
          <w:lang w:val="en-US" w:eastAsia="zh-CN"/>
        </w:rPr>
        <w:t xml:space="preserve">3.2 </w:t>
      </w: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系统出现故障，投标人实行 7*24 服务制度（即一周 7 天，一天 24 小时），向客户提供全天候电话信息咨询和技术支持响应。</w:t>
      </w:r>
    </w:p>
    <w:p>
      <w:pPr>
        <w:ind w:firstLine="480"/>
        <w:rPr>
          <w:rFonts w:hint="eastAsia"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非故障性的其他系统升级、优化、政策指令性等需求，应在政策指令要求的时限前完成，用户自身合理需求完成时间不超过1个月（以需求正式提交时间为准），系统BUG修正时间不超过2周（以BUG确认时间为准）。每月需派工程技术人员现场进行系统功能调整和实施，保障系统运行状态良好。</w:t>
      </w:r>
    </w:p>
    <w:p>
      <w:pPr>
        <w:ind w:firstLine="480"/>
        <w:rPr>
          <w:rFonts w:hint="eastAsia" w:ascii="宋体" w:hAnsi="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投标人须指派专人负责与采购人联系售后服务事宜：提供人员姓名、职务、联系电话（含座机、手机等）。</w:t>
      </w:r>
    </w:p>
    <w:p>
      <w:pPr>
        <w:ind w:firstLine="480"/>
        <w:rPr>
          <w:rFonts w:hint="eastAsia" w:ascii="宋体" w:hAnsi="宋体" w:cs="宋体"/>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投标人在进行软件升级、整改、发布等操作时，必须提前以书面形式告之采购人。包括但不仅限于：操作人员、操作时间、操作内容、后续影响等内容。征得采购人同意后方可进行操作。</w:t>
      </w:r>
    </w:p>
    <w:p>
      <w:pPr>
        <w:ind w:firstLine="480"/>
        <w:rPr>
          <w:rFonts w:hint="default" w:ascii="宋体" w:hAnsi="宋体" w:cs="宋体"/>
          <w:color w:val="auto"/>
          <w:lang w:val="en-US" w:eastAsia="zh-CN"/>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cs="宋体"/>
          <w:color w:val="auto"/>
        </w:rPr>
        <w:t>定期</w:t>
      </w:r>
      <w:r>
        <w:rPr>
          <w:rFonts w:hint="eastAsia" w:ascii="宋体" w:hAnsi="宋体" w:cs="宋体"/>
          <w:color w:val="auto"/>
          <w:lang w:val="en-US" w:eastAsia="zh-CN"/>
        </w:rPr>
        <w:t>巡访</w:t>
      </w:r>
      <w:r>
        <w:rPr>
          <w:rFonts w:hint="eastAsia" w:ascii="宋体" w:hAnsi="宋体" w:cs="宋体"/>
          <w:color w:val="auto"/>
        </w:rPr>
        <w:t>周期为</w:t>
      </w:r>
      <w:r>
        <w:rPr>
          <w:rFonts w:hint="eastAsia" w:ascii="宋体" w:hAnsi="宋体" w:cs="宋体"/>
          <w:color w:val="auto"/>
          <w:lang w:eastAsia="zh-CN"/>
        </w:rPr>
        <w:t>：</w:t>
      </w:r>
      <w:r>
        <w:rPr>
          <w:rFonts w:hint="eastAsia" w:ascii="宋体" w:hAnsi="宋体" w:cs="宋体"/>
          <w:color w:val="auto"/>
        </w:rPr>
        <w:t>每季度</w:t>
      </w:r>
      <w:r>
        <w:rPr>
          <w:rFonts w:hint="eastAsia" w:ascii="宋体" w:hAnsi="宋体" w:cs="宋体"/>
          <w:color w:val="auto"/>
          <w:lang w:val="en-US" w:eastAsia="zh-CN"/>
        </w:rPr>
        <w:t>第一个月第一周</w:t>
      </w:r>
      <w:r>
        <w:rPr>
          <w:rFonts w:hint="eastAsia" w:ascii="宋体" w:hAnsi="宋体" w:cs="宋体"/>
          <w:color w:val="auto"/>
        </w:rPr>
        <w:t>。</w:t>
      </w:r>
      <w:r>
        <w:rPr>
          <w:rFonts w:hint="eastAsia" w:ascii="宋体" w:hAnsi="宋体" w:cs="宋体"/>
          <w:color w:val="auto"/>
          <w:lang w:val="en-US" w:eastAsia="zh-CN"/>
        </w:rPr>
        <w:t>合同期内，中标人每季度来院一次，主要工作为：1.对上季度已完成工作进行沟通和确认。2.现场搜集甲方对软件、硬件在使用中发现的问题和建议，并做好相关记录拍照，现场不能解决的在下次巡检之前完成。3.对软件、硬件运行情况进行实时记录，发现问题或者隐患及时进行处理，并告知甲方。4.巡访记录必须纸质成档且由甲方相关科室负责人签字留底，作为结算凭证。巡访记录至少包括：1.本次巡访中发现的软硬件故障、隐患，已处理个数，未处理原因及处理办法和处理日期、处理人；2.上季度收到甲方具体需求问题、已处理问题、未处理原因及处理办法和处理日期、处理人；3.现场搜集科室意见具体内容、现场解决数量、现场未处理问题预计处理时间和处理人。注：所有未处理问题从问甲方向乙方反馈开始到问题解决完成，不得超过一个月。若实在无法按时完成须及时与甲方进行沟通，说明原因和具体可行的完成时间点。在征得甲方同意后按照既定计划开始实施，若在完成时间点还无法完成，则扣除总当年维护费用5%。</w:t>
      </w:r>
    </w:p>
    <w:p>
      <w:pPr>
        <w:ind w:firstLine="48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6</w:t>
      </w:r>
      <w:r>
        <w:rPr>
          <w:rFonts w:hint="eastAsia" w:ascii="宋体" w:hAnsi="宋体" w:cs="宋体"/>
          <w:color w:val="auto"/>
          <w:lang w:eastAsia="zh-CN"/>
        </w:rPr>
        <w:t>）</w:t>
      </w:r>
      <w:r>
        <w:rPr>
          <w:rFonts w:hint="eastAsia" w:ascii="宋体" w:hAnsi="宋体" w:cs="宋体"/>
          <w:color w:val="auto"/>
        </w:rPr>
        <w:t>现场无法立即修复排除故障的，投标人提供维修方案及修复时间安排。</w:t>
      </w:r>
      <w:r>
        <w:rPr>
          <w:rFonts w:hint="eastAsia" w:ascii="宋体" w:hAnsi="宋体" w:cs="宋体"/>
          <w:color w:val="auto"/>
          <w:lang w:eastAsia="zh-CN"/>
        </w:rPr>
        <w:t>若无法修复则免费提供其他软件或者替代品，不能影响院方的正常工作。</w:t>
      </w:r>
    </w:p>
    <w:p>
      <w:pPr>
        <w:ind w:firstLine="420" w:firstLineChars="0"/>
        <w:rPr>
          <w:rFonts w:hint="default" w:eastAsia="宋体"/>
          <w:lang w:val="en-US" w:eastAsia="zh-CN"/>
        </w:rPr>
      </w:pPr>
      <w:r>
        <w:rPr>
          <w:rFonts w:hint="eastAsia" w:ascii="宋体" w:hAnsi="宋体" w:cs="宋体"/>
          <w:color w:val="auto"/>
          <w:lang w:val="en-US" w:eastAsia="zh-CN"/>
        </w:rPr>
        <w:t>（7）</w:t>
      </w:r>
      <w:r>
        <w:rPr>
          <w:rFonts w:hint="eastAsia" w:ascii="宋体" w:hAnsi="宋体" w:cs="宋体"/>
          <w:color w:val="auto"/>
        </w:rPr>
        <w:t>维保合同期内，非人为因素和易损易耗件的正常更换外，必须保证 95％ 以上日期（以每年 365 天计算）能正常工作，如未能达到，应适当延长保修期。</w:t>
      </w:r>
      <w:r>
        <w:rPr>
          <w:rFonts w:hint="eastAsia" w:ascii="宋体" w:hAnsi="宋体" w:cs="宋体"/>
          <w:color w:val="auto"/>
          <w:lang w:val="en-US" w:eastAsia="zh-CN"/>
        </w:rPr>
        <w:t xml:space="preserve"> </w:t>
      </w:r>
    </w:p>
    <w:p>
      <w:pPr>
        <w:pStyle w:val="2"/>
        <w:rPr>
          <w:b/>
        </w:rPr>
      </w:pPr>
      <w:r>
        <w:rPr>
          <w:b/>
        </w:rPr>
        <w:t>4</w:t>
      </w:r>
      <w:r>
        <w:rPr>
          <w:rFonts w:hint="eastAsia"/>
          <w:b/>
        </w:rPr>
        <w:t>. 其它要求</w:t>
      </w:r>
    </w:p>
    <w:p>
      <w:r>
        <w:rPr>
          <w:rFonts w:hint="eastAsia"/>
        </w:rPr>
        <w:t>4.1 随货</w:t>
      </w:r>
      <w:r>
        <w:t>随发票、送货单及产品相关资料。</w:t>
      </w:r>
    </w:p>
    <w:p>
      <w:pPr>
        <w:pStyle w:val="2"/>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5.</w:t>
      </w:r>
      <w:r>
        <w:rPr>
          <w:rFonts w:hint="eastAsia" w:ascii="Times New Roman" w:hAnsi="Times New Roman" w:cs="Times New Roman"/>
          <w:b/>
          <w:kern w:val="2"/>
          <w:sz w:val="21"/>
          <w:szCs w:val="21"/>
          <w:lang w:val="en-US" w:eastAsia="zh-CN" w:bidi="ar-SA"/>
        </w:rPr>
        <w:t>需要维护的清单</w:t>
      </w:r>
    </w:p>
    <w:p>
      <w:pPr>
        <w:pStyle w:val="61"/>
        <w:wordWrap w:val="0"/>
        <w:spacing w:line="440" w:lineRule="exact"/>
        <w:ind w:left="0" w:leftChars="0" w:firstLine="0" w:firstLineChars="0"/>
        <w:jc w:val="left"/>
        <w:rPr>
          <w:rFonts w:hint="eastAsia" w:ascii="宋体" w:hAnsi="宋体" w:cs="宋体"/>
          <w:color w:val="auto"/>
        </w:rPr>
      </w:pPr>
      <w:r>
        <w:rPr>
          <w:rFonts w:hint="eastAsia" w:ascii="宋体" w:hAnsi="宋体" w:cs="宋体"/>
          <w:color w:val="auto"/>
          <w:lang w:val="en-US" w:eastAsia="zh-CN"/>
        </w:rPr>
        <w:t>5.1</w:t>
      </w:r>
      <w:r>
        <w:rPr>
          <w:rFonts w:hint="eastAsia" w:ascii="宋体" w:hAnsi="宋体" w:cs="宋体"/>
          <w:color w:val="auto"/>
        </w:rPr>
        <w:t>、需要</w:t>
      </w:r>
      <w:r>
        <w:rPr>
          <w:rFonts w:hint="eastAsia" w:ascii="宋体" w:hAnsi="宋体" w:cs="宋体"/>
          <w:color w:val="auto"/>
          <w:lang w:val="en-US" w:eastAsia="zh-CN"/>
        </w:rPr>
        <w:t>维护</w:t>
      </w:r>
      <w:r>
        <w:rPr>
          <w:rFonts w:hint="eastAsia" w:ascii="宋体" w:hAnsi="宋体" w:cs="宋体"/>
          <w:color w:val="auto"/>
        </w:rPr>
        <w:t>的</w:t>
      </w:r>
      <w:r>
        <w:rPr>
          <w:rFonts w:hint="eastAsia" w:ascii="宋体" w:hAnsi="宋体" w:cs="宋体"/>
          <w:color w:val="auto"/>
          <w:lang w:val="en-US" w:eastAsia="zh-CN"/>
        </w:rPr>
        <w:t>软件</w:t>
      </w:r>
      <w:r>
        <w:rPr>
          <w:rFonts w:hint="eastAsia" w:ascii="宋体" w:hAnsi="宋体" w:cs="宋体"/>
          <w:color w:val="auto"/>
        </w:rPr>
        <w:t>：</w:t>
      </w:r>
    </w:p>
    <w:tbl>
      <w:tblPr>
        <w:tblStyle w:val="27"/>
        <w:tblW w:w="0" w:type="auto"/>
        <w:jc w:val="center"/>
        <w:tblLayout w:type="autofit"/>
        <w:tblCellMar>
          <w:top w:w="0" w:type="dxa"/>
          <w:left w:w="108" w:type="dxa"/>
          <w:bottom w:w="0" w:type="dxa"/>
          <w:right w:w="108" w:type="dxa"/>
        </w:tblCellMar>
      </w:tblPr>
      <w:tblGrid>
        <w:gridCol w:w="1056"/>
        <w:gridCol w:w="3576"/>
        <w:gridCol w:w="1581"/>
        <w:gridCol w:w="1176"/>
      </w:tblGrid>
      <w:tr>
        <w:tblPrEx>
          <w:tblCellMar>
            <w:top w:w="0" w:type="dxa"/>
            <w:left w:w="108" w:type="dxa"/>
            <w:bottom w:w="0" w:type="dxa"/>
            <w:right w:w="108" w:type="dxa"/>
          </w:tblCellMar>
        </w:tblPrEx>
        <w:trPr>
          <w:trHeight w:val="908" w:hRule="atLeast"/>
          <w:jc w:val="center"/>
        </w:trPr>
        <w:tc>
          <w:tcPr>
            <w:tcW w:w="0" w:type="auto"/>
            <w:tcBorders>
              <w:top w:val="single" w:color="auto" w:sz="8" w:space="0"/>
              <w:left w:val="single" w:color="auto" w:sz="8" w:space="0"/>
              <w:bottom w:val="nil"/>
              <w:right w:val="single" w:color="auto" w:sz="8" w:space="0"/>
            </w:tcBorders>
            <w:shd w:val="clear" w:color="auto" w:fill="auto"/>
            <w:vAlign w:val="center"/>
          </w:tcPr>
          <w:p>
            <w:pPr>
              <w:pStyle w:val="61"/>
              <w:wordWrap w:val="0"/>
              <w:spacing w:line="440" w:lineRule="exact"/>
              <w:ind w:left="630" w:leftChars="200" w:hanging="210" w:hangingChars="100"/>
              <w:jc w:val="left"/>
              <w:rPr>
                <w:rFonts w:hint="eastAsia" w:ascii="宋体" w:hAnsi="宋体" w:cs="宋体"/>
                <w:color w:val="auto"/>
              </w:rPr>
            </w:pPr>
            <w:r>
              <w:rPr>
                <w:rFonts w:hint="eastAsia" w:ascii="宋体" w:hAnsi="宋体" w:cs="宋体"/>
                <w:color w:val="auto"/>
              </w:rPr>
              <w:t>序号</w:t>
            </w:r>
          </w:p>
        </w:tc>
        <w:tc>
          <w:tcPr>
            <w:tcW w:w="0" w:type="auto"/>
            <w:tcBorders>
              <w:top w:val="single" w:color="auto" w:sz="8" w:space="0"/>
              <w:left w:val="nil"/>
              <w:bottom w:val="nil"/>
              <w:right w:val="single" w:color="auto" w:sz="8" w:space="0"/>
            </w:tcBorders>
            <w:shd w:val="clear" w:color="auto" w:fill="auto"/>
            <w:vAlign w:val="center"/>
          </w:tcPr>
          <w:p>
            <w:pPr>
              <w:pStyle w:val="61"/>
              <w:wordWrap w:val="0"/>
              <w:spacing w:line="440" w:lineRule="exact"/>
              <w:ind w:firstLine="1260" w:firstLineChars="600"/>
              <w:jc w:val="left"/>
              <w:rPr>
                <w:rFonts w:hint="eastAsia" w:ascii="宋体" w:hAnsi="宋体" w:cs="宋体"/>
                <w:color w:val="auto"/>
              </w:rPr>
            </w:pPr>
            <w:r>
              <w:rPr>
                <w:rFonts w:hint="eastAsia" w:ascii="宋体" w:hAnsi="宋体" w:cs="宋体"/>
                <w:color w:val="auto"/>
              </w:rPr>
              <w:t>产品名称</w:t>
            </w:r>
          </w:p>
        </w:tc>
        <w:tc>
          <w:tcPr>
            <w:tcW w:w="1319" w:type="dxa"/>
            <w:tcBorders>
              <w:top w:val="single" w:color="auto" w:sz="8" w:space="0"/>
              <w:left w:val="nil"/>
              <w:bottom w:val="nil"/>
              <w:right w:val="single" w:color="auto" w:sz="8" w:space="0"/>
            </w:tcBorders>
            <w:shd w:val="clear" w:color="auto" w:fill="auto"/>
            <w:vAlign w:val="center"/>
          </w:tcPr>
          <w:p>
            <w:pPr>
              <w:pStyle w:val="61"/>
              <w:wordWrap w:val="0"/>
              <w:spacing w:line="440" w:lineRule="exact"/>
              <w:ind w:left="420" w:leftChars="200" w:firstLine="0" w:firstLineChars="0"/>
              <w:jc w:val="left"/>
              <w:rPr>
                <w:rFonts w:hint="eastAsia" w:ascii="宋体" w:hAnsi="宋体" w:cs="宋体"/>
                <w:color w:val="auto"/>
              </w:rPr>
            </w:pPr>
            <w:r>
              <w:rPr>
                <w:rFonts w:hint="eastAsia" w:ascii="宋体" w:hAnsi="宋体" w:cs="宋体"/>
                <w:color w:val="auto"/>
              </w:rPr>
              <w:t>规格型号</w:t>
            </w:r>
          </w:p>
        </w:tc>
        <w:tc>
          <w:tcPr>
            <w:tcW w:w="1176" w:type="dxa"/>
            <w:tcBorders>
              <w:top w:val="single" w:color="auto" w:sz="8" w:space="0"/>
              <w:left w:val="nil"/>
              <w:bottom w:val="nil"/>
              <w:right w:val="single" w:color="auto" w:sz="8" w:space="0"/>
            </w:tcBorders>
            <w:shd w:val="clear" w:color="auto" w:fill="auto"/>
            <w:vAlign w:val="center"/>
          </w:tcPr>
          <w:p>
            <w:pPr>
              <w:pStyle w:val="61"/>
              <w:wordWrap w:val="0"/>
              <w:spacing w:line="440" w:lineRule="exact"/>
              <w:ind w:left="630" w:leftChars="200" w:hanging="210" w:hangingChars="100"/>
              <w:jc w:val="left"/>
              <w:rPr>
                <w:rFonts w:hint="eastAsia" w:ascii="宋体" w:hAnsi="宋体" w:cs="宋体"/>
                <w:color w:val="auto"/>
              </w:rPr>
            </w:pPr>
            <w:r>
              <w:rPr>
                <w:rFonts w:hint="eastAsia" w:ascii="宋体" w:hAnsi="宋体" w:cs="宋体"/>
                <w:color w:val="auto"/>
              </w:rPr>
              <w:t>数量</w:t>
            </w:r>
          </w:p>
        </w:tc>
      </w:tr>
      <w:tr>
        <w:tblPrEx>
          <w:tblCellMar>
            <w:top w:w="0" w:type="dxa"/>
            <w:left w:w="108" w:type="dxa"/>
            <w:bottom w:w="0" w:type="dxa"/>
            <w:right w:w="108" w:type="dxa"/>
          </w:tblCellMar>
        </w:tblPrEx>
        <w:trPr>
          <w:trHeight w:val="9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61"/>
              <w:wordWrap w:val="0"/>
              <w:spacing w:line="440" w:lineRule="exact"/>
              <w:ind w:firstLine="480"/>
              <w:jc w:val="left"/>
              <w:rPr>
                <w:rFonts w:hint="eastAsia" w:ascii="宋体" w:hAnsi="宋体" w:cs="宋体"/>
                <w:color w:val="auto"/>
              </w:rPr>
            </w:pPr>
            <w:r>
              <w:rPr>
                <w:rFonts w:hint="eastAsia" w:ascii="宋体" w:hAnsi="宋体" w:cs="宋体"/>
                <w:color w:val="auto"/>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61"/>
              <w:wordWrap w:val="0"/>
              <w:spacing w:line="440" w:lineRule="exact"/>
              <w:ind w:left="0" w:leftChars="0" w:firstLine="0" w:firstLineChars="0"/>
              <w:jc w:val="left"/>
              <w:rPr>
                <w:rFonts w:hint="default" w:ascii="宋体" w:hAnsi="宋体" w:cs="宋体"/>
                <w:color w:val="auto"/>
                <w:lang w:val="en-US" w:eastAsia="zh-CN"/>
              </w:rPr>
            </w:pPr>
            <w:r>
              <w:rPr>
                <w:rFonts w:hint="eastAsia" w:ascii="宋体" w:hAnsi="宋体" w:cs="宋体"/>
                <w:color w:val="auto"/>
                <w:lang w:val="en-US" w:eastAsia="zh-CN"/>
              </w:rPr>
              <w:t>消毒供应中心信息管理追溯软件系统</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61"/>
              <w:wordWrap w:val="0"/>
              <w:spacing w:line="440" w:lineRule="exact"/>
              <w:ind w:left="0" w:leftChars="0" w:firstLine="420" w:firstLineChars="200"/>
              <w:jc w:val="left"/>
              <w:rPr>
                <w:rFonts w:hint="eastAsia" w:ascii="宋体" w:hAnsi="宋体" w:cs="宋体"/>
                <w:color w:val="auto"/>
                <w:lang w:val="en-US" w:eastAsia="zh-CN"/>
              </w:rPr>
            </w:pPr>
            <w:r>
              <w:rPr>
                <w:rFonts w:hint="eastAsia" w:ascii="宋体" w:hAnsi="宋体" w:cs="宋体"/>
                <w:color w:val="auto"/>
                <w:lang w:val="en-US" w:eastAsia="zh-CN"/>
              </w:rPr>
              <w:t>XHCSSD60</w:t>
            </w:r>
          </w:p>
          <w:p>
            <w:pPr>
              <w:pStyle w:val="61"/>
              <w:wordWrap w:val="0"/>
              <w:spacing w:line="440" w:lineRule="exact"/>
              <w:ind w:left="0" w:leftChars="0" w:firstLine="210" w:firstLineChars="100"/>
              <w:jc w:val="left"/>
              <w:rPr>
                <w:rFonts w:hint="default" w:ascii="宋体" w:hAnsi="宋体" w:eastAsia="宋体" w:cs="宋体"/>
                <w:color w:val="auto"/>
                <w:lang w:val="en-US" w:eastAsia="zh-CN"/>
              </w:rPr>
            </w:pPr>
            <w:r>
              <w:rPr>
                <w:rFonts w:hint="eastAsia" w:ascii="宋体" w:hAnsi="宋体" w:cs="宋体"/>
                <w:color w:val="auto"/>
                <w:lang w:val="en-US" w:eastAsia="zh-CN"/>
              </w:rPr>
              <w:t>(山东新华）</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61"/>
              <w:wordWrap w:val="0"/>
              <w:spacing w:line="440" w:lineRule="exact"/>
              <w:ind w:firstLine="480"/>
              <w:jc w:val="left"/>
              <w:rPr>
                <w:rFonts w:hint="eastAsia" w:ascii="宋体" w:hAnsi="宋体" w:eastAsia="宋体" w:cs="宋体"/>
                <w:color w:val="auto"/>
                <w:lang w:val="en-US" w:eastAsia="zh-CN"/>
              </w:rPr>
            </w:pPr>
            <w:r>
              <w:rPr>
                <w:rFonts w:hint="eastAsia" w:ascii="宋体" w:hAnsi="宋体" w:cs="宋体"/>
                <w:color w:val="auto"/>
                <w:lang w:val="en-US" w:eastAsia="zh-CN"/>
              </w:rPr>
              <w:t>1</w:t>
            </w:r>
          </w:p>
        </w:tc>
      </w:tr>
    </w:tbl>
    <w:p>
      <w:pPr>
        <w:pStyle w:val="61"/>
        <w:wordWrap w:val="0"/>
        <w:spacing w:line="440" w:lineRule="exact"/>
        <w:ind w:left="0" w:leftChars="0" w:firstLine="0" w:firstLineChars="0"/>
        <w:jc w:val="left"/>
        <w:rPr>
          <w:rFonts w:hint="eastAsia" w:ascii="宋体" w:hAnsi="宋体" w:cs="宋体"/>
          <w:color w:val="auto"/>
        </w:rPr>
      </w:pPr>
      <w:r>
        <w:rPr>
          <w:rFonts w:hint="eastAsia" w:ascii="宋体" w:hAnsi="宋体" w:cs="宋体"/>
          <w:color w:val="auto"/>
          <w:lang w:val="en-US" w:eastAsia="zh-CN"/>
        </w:rPr>
        <w:t>5.2</w:t>
      </w:r>
      <w:r>
        <w:rPr>
          <w:rFonts w:hint="eastAsia" w:ascii="宋体" w:hAnsi="宋体" w:cs="宋体"/>
          <w:color w:val="auto"/>
        </w:rPr>
        <w:t>、</w:t>
      </w:r>
      <w:r>
        <w:rPr>
          <w:rFonts w:hint="eastAsia" w:ascii="宋体" w:hAnsi="宋体" w:cs="宋体"/>
          <w:color w:val="auto"/>
          <w:lang w:val="en-US" w:eastAsia="zh-CN"/>
        </w:rPr>
        <w:t>需要维护的硬件</w:t>
      </w:r>
      <w:r>
        <w:rPr>
          <w:rFonts w:hint="eastAsia" w:ascii="宋体" w:hAnsi="宋体" w:cs="宋体"/>
          <w:color w:val="auto"/>
        </w:rPr>
        <w:t>：</w:t>
      </w:r>
    </w:p>
    <w:tbl>
      <w:tblPr>
        <w:tblStyle w:val="27"/>
        <w:tblW w:w="9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3336"/>
        <w:gridCol w:w="1026"/>
        <w:gridCol w:w="715"/>
        <w:gridCol w:w="3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22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数量</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服务器主机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IBM System x3650 M4,CPU:Xeon E5-2620 六核2.1GHz/内存:16G/硬盘:双300G SAS接口15000转 支持RAID1/四端口千兆网卡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服务器用液晶显示器、键盘、鼠标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联想19吋显示器，USB有线键鼠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后备式UPS（100OVAH)</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山特TG1000,后备时间≥7分钟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商用计算机(19"液晶宽屏,1440*900,带串口)</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联想扬天T4950v 台式机，CPU:酷睿i3 3240 3.4GHz/内存:4G/硬盘:500G 7200转/显示器:20吋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商用计算机(一体机)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联想扬天S740 一体机，CPU:酷睿i3 3240 3.4GHz/内存:4G/硬盘:500G 5400转/显示器:21.5吋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商用计算机主机(带串口，带并口)</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联想扬天T4950v 台式机，CPU:酷睿i3 3240 3.4GHz/内存:4G/硬盘:500G 7200转/显示器:20吋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加密狗</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bookmarkStart w:id="36" w:name="_GoBack"/>
            <w:bookmarkEnd w:id="36"/>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17"液晶触摸屏</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宇联(MP175)，可触摸，可支持1280*1024分辨率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彩色打印机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 Deskjet Ink Advantage 2020hc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激光打印机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 LJ2400L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 LQ-300K+II，带USB 数据线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微机音箱</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联想M0520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电源插排</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公牛GN-603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条码扫描枪(串口无线)</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摩托罗拉LI4278，带电源、充电底座和串口线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条码打印机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立象ARGOX CP-2140,带USB数据线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移动工作台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服务器机柜(0.6米宽X0.9米深X1.6米高)</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广州泽昊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48口以太网交换机</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DES-1048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48口网络配线架</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广州泽昊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网线(带水晶头，3米长)</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超五类或六类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网线(带水晶头，0.5米长)</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超五类或六类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超五类或六类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爱普斯特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无线路由器</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  TL-WR740N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6</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无线网卡</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 TL-WN721N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7</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金属标牌</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条码扫描枪(串口有线)</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摩托罗拉LS4208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29</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条码扫描枪壁式挂架</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条码扫描枪专用挂架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条码扫描枪串口螺旋延长线</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条码扫描枪专用5m螺旋线</w:t>
            </w:r>
          </w:p>
        </w:tc>
      </w:tr>
    </w:tbl>
    <w:p/>
    <w:p>
      <w:pPr>
        <w:pStyle w:val="4"/>
        <w:numPr>
          <w:ilvl w:val="0"/>
          <w:numId w:val="0"/>
        </w:numPr>
        <w:spacing w:before="0" w:after="0" w:line="336" w:lineRule="auto"/>
        <w:jc w:val="left"/>
      </w:pPr>
      <w:r>
        <w:rPr>
          <w:rFonts w:hint="eastAsia"/>
        </w:rPr>
        <w:t>三、技术参数要求</w:t>
      </w:r>
    </w:p>
    <w:p>
      <w:pPr>
        <w:pStyle w:val="2"/>
        <w:rPr>
          <w:rFonts w:hint="eastAsia" w:ascii="宋体" w:hAnsi="宋体" w:cs="宋体"/>
          <w:b/>
          <w:bCs/>
          <w:spacing w:val="-4"/>
          <w:lang w:val="en-US" w:eastAsia="zh-CN"/>
        </w:rPr>
      </w:pPr>
      <w:r>
        <w:rPr>
          <w:rFonts w:hint="eastAsia" w:ascii="宋体" w:hAnsi="宋体" w:cs="宋体"/>
          <w:color w:val="000000" w:themeColor="text1"/>
          <w14:textFill>
            <w14:solidFill>
              <w14:schemeClr w14:val="tx1"/>
            </w14:solidFill>
          </w14:textFill>
        </w:rPr>
        <w:t>★</w:t>
      </w:r>
      <w:r>
        <w:rPr>
          <w:b/>
        </w:rPr>
        <w:t>0</w:t>
      </w:r>
      <w:r>
        <w:rPr>
          <w:rFonts w:hint="eastAsia"/>
          <w:b/>
        </w:rPr>
        <w:t>1-</w:t>
      </w:r>
      <w:r>
        <w:rPr>
          <w:rFonts w:ascii="Times New Roman" w:hAnsi="Times New Roman" w:eastAsia="宋体" w:cs="Times New Roman"/>
          <w:b/>
        </w:rPr>
        <w:t>0</w:t>
      </w:r>
      <w:r>
        <w:rPr>
          <w:rFonts w:hint="eastAsia" w:ascii="Times New Roman" w:hAnsi="Times New Roman" w:eastAsia="宋体" w:cs="Times New Roman"/>
          <w:b/>
        </w:rPr>
        <w:t xml:space="preserve">1 </w:t>
      </w:r>
      <w:r>
        <w:rPr>
          <w:rFonts w:hint="eastAsia" w:ascii="Times New Roman" w:hAnsi="Times New Roman" w:eastAsia="宋体" w:cs="Times New Roman"/>
          <w:b/>
          <w:lang w:val="en-US" w:eastAsia="zh-CN"/>
        </w:rPr>
        <w:t>消毒供应追溯系统升级维护服务</w:t>
      </w:r>
    </w:p>
    <w:p>
      <w:pPr>
        <w:ind w:firstLine="480"/>
        <w:rPr>
          <w:rFonts w:hint="eastAsia" w:ascii="宋体" w:hAnsi="宋体" w:cs="宋体"/>
          <w:color w:val="auto"/>
          <w:lang w:val="en-US" w:eastAsia="zh-CN"/>
        </w:rPr>
      </w:pPr>
      <w:r>
        <w:rPr>
          <w:rFonts w:hint="eastAsia" w:ascii="宋体" w:hAnsi="宋体" w:cs="宋体"/>
          <w:color w:val="000000" w:themeColor="text1"/>
          <w14:textFill>
            <w14:solidFill>
              <w14:schemeClr w14:val="tx1"/>
            </w14:solidFill>
          </w14:textFill>
        </w:rPr>
        <w:t>（1）在维保期间，针对以上应用</w:t>
      </w:r>
      <w:r>
        <w:rPr>
          <w:rFonts w:hint="eastAsia" w:ascii="宋体" w:hAnsi="宋体" w:cs="宋体"/>
          <w:color w:val="000000" w:themeColor="text1"/>
          <w:lang w:val="en-US" w:eastAsia="zh-CN"/>
          <w14:textFill>
            <w14:solidFill>
              <w14:schemeClr w14:val="tx1"/>
            </w14:solidFill>
          </w14:textFill>
        </w:rPr>
        <w:t>系统</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val="en-US" w:eastAsia="zh-CN"/>
          <w14:textFill>
            <w14:solidFill>
              <w14:schemeClr w14:val="tx1"/>
            </w14:solidFill>
          </w14:textFill>
        </w:rPr>
        <w:t>升级、维护</w:t>
      </w:r>
      <w:r>
        <w:rPr>
          <w:rFonts w:hint="eastAsia" w:ascii="宋体" w:hAnsi="宋体" w:cs="宋体"/>
          <w:color w:val="000000" w:themeColor="text1"/>
          <w14:textFill>
            <w14:solidFill>
              <w14:schemeClr w14:val="tx1"/>
            </w14:solidFill>
          </w14:textFill>
        </w:rPr>
        <w:t>等所产生的一切费用均包含在本次报价中。</w:t>
      </w:r>
      <w:r>
        <w:rPr>
          <w:rFonts w:hint="eastAsia" w:ascii="宋体" w:hAnsi="宋体" w:cs="宋体"/>
          <w:color w:val="auto"/>
          <w:lang w:val="en-US" w:eastAsia="zh-CN"/>
        </w:rPr>
        <w:t>以上硬件为原软件承建商一并建设，为软件运行必需的基础环境。中标方要负责平时的硬件巡检、运行维护、性能优化等操作。若硬件出现故障或者性能老化而无法正常使用等情况，由院方负责维修、升级、更换。中标方要为院方提出能满足软件使用需求的指导性意见，并负责硬件维修、升级、更换后的与追溯系统有关的软件、数据库的调试和部署，所产生的一切费用均包含在本次报价中。</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（2）中标人要成立软件维保服务项目领导小组并制定工作方案，与院方取得联系成立软件维保服务项目联合工作组，做到事事落实到人，建立双方维保工作台帐，对不能及时完成事项要说明原因。</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（3）中标人要在符合信息化建设框架下能够充分尊重医务人员建议意见，及时</w:t>
      </w:r>
      <w:r>
        <w:rPr>
          <w:rFonts w:hint="eastAsia" w:ascii="宋体" w:hAnsi="宋体" w:cs="宋体"/>
          <w:color w:val="000000" w:themeColor="text1"/>
          <w:lang w:val="en-US" w:eastAsia="zh-CN"/>
          <w14:textFill>
            <w14:solidFill>
              <w14:schemeClr w14:val="tx1"/>
            </w14:solidFill>
          </w14:textFill>
        </w:rPr>
        <w:t>维护系统，调整服务方案</w:t>
      </w:r>
      <w:r>
        <w:rPr>
          <w:rFonts w:hint="eastAsia" w:ascii="宋体" w:hAnsi="宋体" w:cs="宋体"/>
          <w:color w:val="000000" w:themeColor="text1"/>
          <w14:textFill>
            <w14:solidFill>
              <w14:schemeClr w14:val="tx1"/>
            </w14:solidFill>
          </w14:textFill>
        </w:rPr>
        <w:t>满足医院实际工作的需要。</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中标人要对软件维保服务项目进行全面梳理，及时了解和掌握医院工作人员对软件的熟悉和利用程度，必要时要到现场进行培训指导，让软件充分发挥其应有作用。对医院利用不充分甚至未利用的系统功能，中标人有责任以书面形式向医院提出。</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中标人要至少每季度提供一次软件维保服务项目工作报告，内容包括但不限于：培训、指导、商讨、修改、升级、更新、建议、要求、流程再造、设备接入、业务扩展（专指院内）等，以及医院提出的其他要求和落实情况等。</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（6）国家新增加或修订政策、法律法规规章出台的所有相关信息，中标人有义务及时提供给院方。</w:t>
      </w:r>
    </w:p>
    <w:p>
      <w:pPr>
        <w:ind w:firstLine="480"/>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（7）如院方信息化建设需要与第三方公司合作，中标人应积极配合完成由院方加盖公章提出的需求</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如涉及费用，相关费用双方协商</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，以使医院信息化建设逐步完善，功能更加齐全</w:t>
      </w:r>
      <w:r>
        <w:rPr>
          <w:rFonts w:hint="eastAsia" w:ascii="宋体" w:hAnsi="宋体" w:cs="宋体"/>
          <w:color w:val="000000" w:themeColor="text1"/>
          <w:lang w:eastAsia="zh-CN"/>
          <w14:textFill>
            <w14:solidFill>
              <w14:schemeClr w14:val="tx1"/>
            </w14:solidFill>
          </w14:textFill>
        </w:rPr>
        <w:t>。</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（8）中标人应积极配合完成因院方接受检查、巡察、评审、复审而提出的信息化相关要求。</w:t>
      </w:r>
    </w:p>
    <w:p>
      <w:pP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任何情况下，中标人都不得采用任何技术手段或措施限制院方对已购项目的使用权。中标人应有可靠的技术措施和制度，保障项目实施及运行过程中中标人相关工作人员所获得的院方业务数据及患者、医务人员个人信息和诊疗信息等均永久保密，若有泄露中标人应承担相应的法律责任。</w:t>
      </w:r>
    </w:p>
    <w:p>
      <w:pPr>
        <w:ind w:firstLine="480"/>
        <w:rPr>
          <w:rFonts w:hint="eastAsia" w:ascii="宋体" w:hAnsi="宋体" w:cs="宋体"/>
          <w:color w:val="auto"/>
          <w:lang w:val="en-US" w:eastAsia="zh-CN"/>
        </w:rPr>
      </w:pPr>
      <w:r>
        <w:rPr>
          <w:rFonts w:hint="eastAsia" w:ascii="宋体" w:hAnsi="宋体" w:cs="宋体"/>
          <w:color w:val="auto"/>
          <w:lang w:val="en-US" w:eastAsia="zh-CN"/>
        </w:rPr>
        <w:t>（10）中标人依据院方要求对软件功能进行改动和增加。院方提出的要求应当在现有功能基础上，在现有软件技术条件下，并符合国家规范。周期内需求（工作日7天内）免费修改。</w:t>
      </w:r>
    </w:p>
    <w:p>
      <w:pPr>
        <w:pStyle w:val="2"/>
        <w:ind w:firstLine="420" w:firstLineChars="0"/>
        <w:rPr>
          <w:rFonts w:hint="default"/>
          <w:lang w:val="en-US" w:eastAsia="zh-CN"/>
        </w:rPr>
      </w:pPr>
      <w:r>
        <w:rPr>
          <w:rFonts w:hint="eastAsia" w:ascii="宋体" w:hAnsi="宋体" w:cs="宋体"/>
          <w:b/>
          <w:bCs/>
          <w:color w:val="auto"/>
          <w:highlight w:val="none"/>
          <w:lang w:val="en-US" w:eastAsia="zh-CN"/>
        </w:rPr>
        <w:t>（11）此次软件新增</w:t>
      </w:r>
      <w:r>
        <w:rPr>
          <w:rFonts w:hint="eastAsia" w:ascii="宋体" w:hAnsi="宋体" w:cs="宋体"/>
          <w:b/>
          <w:bCs/>
          <w:color w:val="auto"/>
          <w:highlight w:val="none"/>
        </w:rPr>
        <w:t>内容</w:t>
      </w:r>
      <w:r>
        <w:rPr>
          <w:rFonts w:hint="eastAsia" w:ascii="宋体" w:hAnsi="宋体" w:cs="宋体"/>
          <w:b/>
          <w:bCs/>
          <w:color w:val="auto"/>
          <w:highlight w:val="none"/>
          <w:lang w:val="en-US" w:eastAsia="zh-CN"/>
        </w:rPr>
        <w:t>如下：</w:t>
      </w:r>
    </w:p>
    <w:p>
      <w:pPr>
        <w:ind w:firstLine="480"/>
        <w:rPr>
          <w:rFonts w:hint="default" w:ascii="宋体" w:hAnsi="宋体" w:cs="宋体"/>
          <w:color w:val="auto"/>
          <w:highlight w:val="none"/>
          <w:lang w:val="en-US" w:eastAsia="zh-CN"/>
        </w:rPr>
      </w:pPr>
      <w:r>
        <w:rPr>
          <w:rFonts w:hint="eastAsia" w:ascii="宋体" w:hAnsi="宋体" w:cs="宋体"/>
          <w:color w:val="auto"/>
          <w:highlight w:val="none"/>
          <w:lang w:val="en-US" w:eastAsia="zh-CN"/>
        </w:rPr>
        <w:t>1、备注同步：例如接收的无菌包有特殊需要说明的地方，回收环节备注或第一次备注后，如无人为删除此备注，此后每个环节都可看见；如有删除或更改备注内容，可查询操作人员和时间</w:t>
      </w:r>
    </w:p>
    <w:p>
      <w:pPr>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2、无菌包包内容物卡同步打印。</w:t>
      </w:r>
    </w:p>
    <w:p>
      <w:pPr>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3、加急包提醒包装和发放功能（语音播报）。</w:t>
      </w:r>
    </w:p>
    <w:p>
      <w:pPr>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4、近效期提醒：不同效期的无菌包设置不同时间的近效期时间提醒，需人为手动消除，确保近效期的几天时间使用该系统的人都能看见（本科室系统、手术室系统）。</w:t>
      </w:r>
    </w:p>
    <w:p>
      <w:pPr>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5、实物条码对比：库存中实物与条码不符，可以扫描对比，多余的条码可以自动分类，由操作人员进行盘库或其他出库处理。</w:t>
      </w:r>
    </w:p>
    <w:p>
      <w:pPr>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6、手术室出库落实到人或手术间，能够追溯到出库的无菌包（至少在有库房人员扫描发放时能够落实）。</w:t>
      </w:r>
    </w:p>
    <w:p>
      <w:pPr>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7、发放无菌包时能够直接扫描，归属于各科室的专科包不用频繁手动在系统上变更科室，直接扫描后系统可以默认归属到该科室发放，供应室自备院内公用包则需要手动选择发放科室，因为这个归属科室在供应室，需手动选择科室才能记录到此无菌包是发放到哪个科室。</w:t>
      </w:r>
    </w:p>
    <w:p>
      <w:pPr>
        <w:pStyle w:val="2"/>
        <w:ind w:firstLine="420" w:firstLineChars="0"/>
        <w:rPr>
          <w:rFonts w:hint="eastAsia"/>
          <w:lang w:val="en-US" w:eastAsia="zh-CN"/>
        </w:rPr>
      </w:pPr>
      <w:r>
        <w:rPr>
          <w:rFonts w:hint="eastAsia" w:ascii="宋体" w:hAnsi="宋体" w:cs="宋体"/>
          <w:sz w:val="24"/>
          <w:szCs w:val="24"/>
          <w:lang w:val="en-US" w:eastAsia="zh-CN"/>
        </w:rPr>
        <w:t>8、</w:t>
      </w:r>
      <w:r>
        <w:rPr>
          <w:rFonts w:ascii="宋体" w:hAnsi="宋体" w:eastAsia="宋体" w:cs="宋体"/>
          <w:sz w:val="24"/>
          <w:szCs w:val="24"/>
        </w:rPr>
        <w:t>消毒供应信息追溯系统与医院临床HIS系统及手麻系统相连接，能够准确追溯到无菌包的每个使用环节和使用病人信息。</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jc w:val="both"/>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73895846"/>
      <w:bookmarkStart w:id="25" w:name="_Toc180296788"/>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80296789"/>
      <w:bookmarkStart w:id="28" w:name="_Toc211679186"/>
      <w:bookmarkStart w:id="29" w:name="_Toc173895659"/>
      <w:bookmarkStart w:id="30" w:name="_Toc173895847"/>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60"/>
      <w:bookmarkStart w:id="32" w:name="_Toc518397109"/>
      <w:bookmarkStart w:id="33" w:name="_Toc18504752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1FB40D3"/>
    <w:rsid w:val="021A27AB"/>
    <w:rsid w:val="02251150"/>
    <w:rsid w:val="02290C40"/>
    <w:rsid w:val="024E06A7"/>
    <w:rsid w:val="02654A25"/>
    <w:rsid w:val="02856A85"/>
    <w:rsid w:val="02FA438B"/>
    <w:rsid w:val="03082F4B"/>
    <w:rsid w:val="03497EB8"/>
    <w:rsid w:val="03656A68"/>
    <w:rsid w:val="0385459C"/>
    <w:rsid w:val="03912F41"/>
    <w:rsid w:val="03C52BEB"/>
    <w:rsid w:val="040A4AA1"/>
    <w:rsid w:val="04A04E94"/>
    <w:rsid w:val="04A171B4"/>
    <w:rsid w:val="04EC335E"/>
    <w:rsid w:val="04F25C61"/>
    <w:rsid w:val="052102F4"/>
    <w:rsid w:val="054D4328"/>
    <w:rsid w:val="05593A33"/>
    <w:rsid w:val="0560706F"/>
    <w:rsid w:val="05726DA2"/>
    <w:rsid w:val="05CA273A"/>
    <w:rsid w:val="05CC726C"/>
    <w:rsid w:val="06093262"/>
    <w:rsid w:val="061834A6"/>
    <w:rsid w:val="0624108F"/>
    <w:rsid w:val="067B57E2"/>
    <w:rsid w:val="06847ACE"/>
    <w:rsid w:val="06B153F1"/>
    <w:rsid w:val="06E45A7E"/>
    <w:rsid w:val="072C69F3"/>
    <w:rsid w:val="0757624F"/>
    <w:rsid w:val="07F10452"/>
    <w:rsid w:val="07F41CF0"/>
    <w:rsid w:val="07FA41D2"/>
    <w:rsid w:val="086F1377"/>
    <w:rsid w:val="0876485A"/>
    <w:rsid w:val="08C34CE7"/>
    <w:rsid w:val="0906268A"/>
    <w:rsid w:val="09293C1C"/>
    <w:rsid w:val="097148FC"/>
    <w:rsid w:val="09880942"/>
    <w:rsid w:val="099948FD"/>
    <w:rsid w:val="09D516AE"/>
    <w:rsid w:val="09F558AC"/>
    <w:rsid w:val="0A0311E7"/>
    <w:rsid w:val="0A342878"/>
    <w:rsid w:val="0A985A73"/>
    <w:rsid w:val="0AC41E4E"/>
    <w:rsid w:val="0AC7549A"/>
    <w:rsid w:val="0B0B182B"/>
    <w:rsid w:val="0B1F0E32"/>
    <w:rsid w:val="0B674587"/>
    <w:rsid w:val="0B73117E"/>
    <w:rsid w:val="0B985648"/>
    <w:rsid w:val="0BEF5AD9"/>
    <w:rsid w:val="0BFB2CA8"/>
    <w:rsid w:val="0C142961"/>
    <w:rsid w:val="0C253C4D"/>
    <w:rsid w:val="0C2A3F33"/>
    <w:rsid w:val="0C4C0F18"/>
    <w:rsid w:val="0C50326D"/>
    <w:rsid w:val="0C873133"/>
    <w:rsid w:val="0CC671CF"/>
    <w:rsid w:val="0CE75980"/>
    <w:rsid w:val="0CFA5FDF"/>
    <w:rsid w:val="0D156991"/>
    <w:rsid w:val="0D246BD4"/>
    <w:rsid w:val="0D4F4C43"/>
    <w:rsid w:val="0D677904"/>
    <w:rsid w:val="0DEB14A0"/>
    <w:rsid w:val="0E0407B3"/>
    <w:rsid w:val="0E230024"/>
    <w:rsid w:val="0E340889"/>
    <w:rsid w:val="0E651252"/>
    <w:rsid w:val="0EA855E3"/>
    <w:rsid w:val="0EA93835"/>
    <w:rsid w:val="0EC266A4"/>
    <w:rsid w:val="0F930041"/>
    <w:rsid w:val="0FC401FA"/>
    <w:rsid w:val="0FCB3337"/>
    <w:rsid w:val="0FD85A54"/>
    <w:rsid w:val="0FFA3C1C"/>
    <w:rsid w:val="0FFF5398"/>
    <w:rsid w:val="10443A9C"/>
    <w:rsid w:val="10541406"/>
    <w:rsid w:val="105552F6"/>
    <w:rsid w:val="10583483"/>
    <w:rsid w:val="10944070"/>
    <w:rsid w:val="10B335E5"/>
    <w:rsid w:val="10BC5375"/>
    <w:rsid w:val="10BD20EF"/>
    <w:rsid w:val="10C116E5"/>
    <w:rsid w:val="10CD30DE"/>
    <w:rsid w:val="10E16B8A"/>
    <w:rsid w:val="10E30B54"/>
    <w:rsid w:val="10EC17B7"/>
    <w:rsid w:val="11390774"/>
    <w:rsid w:val="11603F53"/>
    <w:rsid w:val="127D0416"/>
    <w:rsid w:val="127F665A"/>
    <w:rsid w:val="12C624DB"/>
    <w:rsid w:val="12CC7AF2"/>
    <w:rsid w:val="12D27AA1"/>
    <w:rsid w:val="130848A2"/>
    <w:rsid w:val="132C0590"/>
    <w:rsid w:val="13436824"/>
    <w:rsid w:val="1347361C"/>
    <w:rsid w:val="135D2E40"/>
    <w:rsid w:val="139879D4"/>
    <w:rsid w:val="13AF4D1D"/>
    <w:rsid w:val="140B289C"/>
    <w:rsid w:val="14661880"/>
    <w:rsid w:val="14B23BA1"/>
    <w:rsid w:val="14B720DC"/>
    <w:rsid w:val="14F43330"/>
    <w:rsid w:val="14F745A8"/>
    <w:rsid w:val="15023C9F"/>
    <w:rsid w:val="15455939"/>
    <w:rsid w:val="15B30AF5"/>
    <w:rsid w:val="15B84A34"/>
    <w:rsid w:val="15D51D78"/>
    <w:rsid w:val="15E6711C"/>
    <w:rsid w:val="1638724C"/>
    <w:rsid w:val="163C4F8E"/>
    <w:rsid w:val="16432F4E"/>
    <w:rsid w:val="166C5006"/>
    <w:rsid w:val="166D15EC"/>
    <w:rsid w:val="168D3A3C"/>
    <w:rsid w:val="16A86180"/>
    <w:rsid w:val="16AD3796"/>
    <w:rsid w:val="16B56AEF"/>
    <w:rsid w:val="1705528B"/>
    <w:rsid w:val="174F6496"/>
    <w:rsid w:val="177D6537"/>
    <w:rsid w:val="17C0399D"/>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1D4C62"/>
    <w:rsid w:val="1B5808E4"/>
    <w:rsid w:val="1B7B0983"/>
    <w:rsid w:val="1B866CAC"/>
    <w:rsid w:val="1C47643B"/>
    <w:rsid w:val="1C56042C"/>
    <w:rsid w:val="1C5A616E"/>
    <w:rsid w:val="1C890801"/>
    <w:rsid w:val="1CD13A03"/>
    <w:rsid w:val="1D1502E7"/>
    <w:rsid w:val="1D8B67FB"/>
    <w:rsid w:val="1D951428"/>
    <w:rsid w:val="1DA43419"/>
    <w:rsid w:val="1DA63635"/>
    <w:rsid w:val="1E2C3B3A"/>
    <w:rsid w:val="1E5D1F46"/>
    <w:rsid w:val="1E897DA0"/>
    <w:rsid w:val="1EF53F2C"/>
    <w:rsid w:val="1F4E5D32"/>
    <w:rsid w:val="1F5570C1"/>
    <w:rsid w:val="1F5C21FD"/>
    <w:rsid w:val="1F5F3A9B"/>
    <w:rsid w:val="1F7F5EEC"/>
    <w:rsid w:val="1F8302AF"/>
    <w:rsid w:val="1F896D6A"/>
    <w:rsid w:val="1F9F033C"/>
    <w:rsid w:val="1FE3647B"/>
    <w:rsid w:val="1FEF01FC"/>
    <w:rsid w:val="1FF70178"/>
    <w:rsid w:val="20176124"/>
    <w:rsid w:val="20BC4690"/>
    <w:rsid w:val="20F10A60"/>
    <w:rsid w:val="21224D81"/>
    <w:rsid w:val="21815B54"/>
    <w:rsid w:val="21AF0D0A"/>
    <w:rsid w:val="21C54695"/>
    <w:rsid w:val="21CF536C"/>
    <w:rsid w:val="21FE134A"/>
    <w:rsid w:val="220B59C1"/>
    <w:rsid w:val="222F3BF9"/>
    <w:rsid w:val="225C2514"/>
    <w:rsid w:val="22833F45"/>
    <w:rsid w:val="22920F68"/>
    <w:rsid w:val="22A255C7"/>
    <w:rsid w:val="22A46395"/>
    <w:rsid w:val="22BB5E26"/>
    <w:rsid w:val="22D622C7"/>
    <w:rsid w:val="230010F2"/>
    <w:rsid w:val="23162280"/>
    <w:rsid w:val="2369313B"/>
    <w:rsid w:val="24BB5C18"/>
    <w:rsid w:val="24E7641E"/>
    <w:rsid w:val="24FA6740"/>
    <w:rsid w:val="254A62BB"/>
    <w:rsid w:val="2551032A"/>
    <w:rsid w:val="256911D0"/>
    <w:rsid w:val="257F6C45"/>
    <w:rsid w:val="25E973B4"/>
    <w:rsid w:val="261E645E"/>
    <w:rsid w:val="26395046"/>
    <w:rsid w:val="265E2CFF"/>
    <w:rsid w:val="26631034"/>
    <w:rsid w:val="2685203A"/>
    <w:rsid w:val="26EC2278"/>
    <w:rsid w:val="26EE1B16"/>
    <w:rsid w:val="27793664"/>
    <w:rsid w:val="279462AC"/>
    <w:rsid w:val="27A6495D"/>
    <w:rsid w:val="27BD5803"/>
    <w:rsid w:val="27D52814"/>
    <w:rsid w:val="28723FD3"/>
    <w:rsid w:val="288B76AF"/>
    <w:rsid w:val="28C46D67"/>
    <w:rsid w:val="28E62B38"/>
    <w:rsid w:val="28F22A1C"/>
    <w:rsid w:val="29041902"/>
    <w:rsid w:val="2959155B"/>
    <w:rsid w:val="29A0718A"/>
    <w:rsid w:val="29A507F5"/>
    <w:rsid w:val="2A532A2E"/>
    <w:rsid w:val="2AF7102C"/>
    <w:rsid w:val="2B85488A"/>
    <w:rsid w:val="2BAD5B8F"/>
    <w:rsid w:val="2BBD4024"/>
    <w:rsid w:val="2BC2163A"/>
    <w:rsid w:val="2BD42700"/>
    <w:rsid w:val="2C216795"/>
    <w:rsid w:val="2C245E51"/>
    <w:rsid w:val="2C267E1B"/>
    <w:rsid w:val="2C7F39CF"/>
    <w:rsid w:val="2C8A7DD3"/>
    <w:rsid w:val="2CAD22EA"/>
    <w:rsid w:val="2CEC40B6"/>
    <w:rsid w:val="2CF25F4F"/>
    <w:rsid w:val="2D742E08"/>
    <w:rsid w:val="2DAC07F4"/>
    <w:rsid w:val="2DAD00C8"/>
    <w:rsid w:val="2DB2761A"/>
    <w:rsid w:val="2DBE22D5"/>
    <w:rsid w:val="2DE75388"/>
    <w:rsid w:val="2E296928"/>
    <w:rsid w:val="2E4722CA"/>
    <w:rsid w:val="2E522D8F"/>
    <w:rsid w:val="2E735909"/>
    <w:rsid w:val="2EA66FF1"/>
    <w:rsid w:val="2EE575D9"/>
    <w:rsid w:val="2F104DB2"/>
    <w:rsid w:val="2F177EEF"/>
    <w:rsid w:val="2F45680A"/>
    <w:rsid w:val="2F6918CE"/>
    <w:rsid w:val="2F77273B"/>
    <w:rsid w:val="2FB93803"/>
    <w:rsid w:val="2FDC6A42"/>
    <w:rsid w:val="2FE37DD1"/>
    <w:rsid w:val="30185CCC"/>
    <w:rsid w:val="30416F06"/>
    <w:rsid w:val="30444D13"/>
    <w:rsid w:val="306B04F2"/>
    <w:rsid w:val="30DF0B7A"/>
    <w:rsid w:val="30DF4A3C"/>
    <w:rsid w:val="31097D0B"/>
    <w:rsid w:val="311D2557"/>
    <w:rsid w:val="313774ED"/>
    <w:rsid w:val="314F4955"/>
    <w:rsid w:val="317226E8"/>
    <w:rsid w:val="319475D5"/>
    <w:rsid w:val="31AA504A"/>
    <w:rsid w:val="31D16A7B"/>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D6BB3"/>
    <w:rsid w:val="389E51DD"/>
    <w:rsid w:val="38CC250B"/>
    <w:rsid w:val="39B81EB6"/>
    <w:rsid w:val="39DE552C"/>
    <w:rsid w:val="3A073C4A"/>
    <w:rsid w:val="3A110093"/>
    <w:rsid w:val="3A502507"/>
    <w:rsid w:val="3A532F29"/>
    <w:rsid w:val="3A775CE5"/>
    <w:rsid w:val="3A7D2E26"/>
    <w:rsid w:val="3ACC7DDF"/>
    <w:rsid w:val="3AD46C94"/>
    <w:rsid w:val="3B027CA5"/>
    <w:rsid w:val="3B084B8F"/>
    <w:rsid w:val="3B143534"/>
    <w:rsid w:val="3B491430"/>
    <w:rsid w:val="3B876595"/>
    <w:rsid w:val="3BDD601C"/>
    <w:rsid w:val="3C221C81"/>
    <w:rsid w:val="3C241E9D"/>
    <w:rsid w:val="3C2D6FA3"/>
    <w:rsid w:val="3CB52AF5"/>
    <w:rsid w:val="3CDB07AE"/>
    <w:rsid w:val="3CE2527D"/>
    <w:rsid w:val="3D2F4655"/>
    <w:rsid w:val="3D622C7D"/>
    <w:rsid w:val="3D6D517E"/>
    <w:rsid w:val="3DBB4CCB"/>
    <w:rsid w:val="3E3F4D6C"/>
    <w:rsid w:val="3E877FC2"/>
    <w:rsid w:val="3E8F7AA2"/>
    <w:rsid w:val="3EB92D70"/>
    <w:rsid w:val="3EF773F5"/>
    <w:rsid w:val="3F23643C"/>
    <w:rsid w:val="3F577E93"/>
    <w:rsid w:val="3F6358F0"/>
    <w:rsid w:val="3F740A45"/>
    <w:rsid w:val="3F8C3FE1"/>
    <w:rsid w:val="3F980BD8"/>
    <w:rsid w:val="4033445D"/>
    <w:rsid w:val="40953369"/>
    <w:rsid w:val="40E37C31"/>
    <w:rsid w:val="41004C87"/>
    <w:rsid w:val="410332AB"/>
    <w:rsid w:val="41A53138"/>
    <w:rsid w:val="41FD0523"/>
    <w:rsid w:val="42701998"/>
    <w:rsid w:val="42786A9F"/>
    <w:rsid w:val="42AC04F6"/>
    <w:rsid w:val="43574906"/>
    <w:rsid w:val="43707776"/>
    <w:rsid w:val="43A37B4B"/>
    <w:rsid w:val="43AA2C88"/>
    <w:rsid w:val="4420119C"/>
    <w:rsid w:val="446E46AD"/>
    <w:rsid w:val="44B51E27"/>
    <w:rsid w:val="44B738AE"/>
    <w:rsid w:val="45062140"/>
    <w:rsid w:val="450B3BFA"/>
    <w:rsid w:val="451A3E3D"/>
    <w:rsid w:val="45505AB1"/>
    <w:rsid w:val="458D460F"/>
    <w:rsid w:val="45A32084"/>
    <w:rsid w:val="45E5392F"/>
    <w:rsid w:val="460D74FE"/>
    <w:rsid w:val="46274A64"/>
    <w:rsid w:val="46317690"/>
    <w:rsid w:val="46661252"/>
    <w:rsid w:val="469A6FE4"/>
    <w:rsid w:val="46A2233C"/>
    <w:rsid w:val="46AE2A8F"/>
    <w:rsid w:val="46EE10DD"/>
    <w:rsid w:val="47044E98"/>
    <w:rsid w:val="47866ABC"/>
    <w:rsid w:val="47AA76FA"/>
    <w:rsid w:val="484339D2"/>
    <w:rsid w:val="48671147"/>
    <w:rsid w:val="486A6E89"/>
    <w:rsid w:val="4885155F"/>
    <w:rsid w:val="48914416"/>
    <w:rsid w:val="48D80297"/>
    <w:rsid w:val="48E42798"/>
    <w:rsid w:val="48FD7CFE"/>
    <w:rsid w:val="498E0956"/>
    <w:rsid w:val="4994190E"/>
    <w:rsid w:val="49C03205"/>
    <w:rsid w:val="49F27FBC"/>
    <w:rsid w:val="4AC26B09"/>
    <w:rsid w:val="4B047121"/>
    <w:rsid w:val="4B076C12"/>
    <w:rsid w:val="4BB328F5"/>
    <w:rsid w:val="4BE17463"/>
    <w:rsid w:val="4C1E4213"/>
    <w:rsid w:val="4C56173B"/>
    <w:rsid w:val="4C6205A3"/>
    <w:rsid w:val="4C856040"/>
    <w:rsid w:val="4C8B429E"/>
    <w:rsid w:val="4CA60843"/>
    <w:rsid w:val="4CB16E35"/>
    <w:rsid w:val="4CC90623"/>
    <w:rsid w:val="4CD40D75"/>
    <w:rsid w:val="4D1F0243"/>
    <w:rsid w:val="4D4C3002"/>
    <w:rsid w:val="4D7C5695"/>
    <w:rsid w:val="4DA40BCE"/>
    <w:rsid w:val="4DB10A21"/>
    <w:rsid w:val="4DE33966"/>
    <w:rsid w:val="4DED6593"/>
    <w:rsid w:val="4DFA2A5E"/>
    <w:rsid w:val="4E125FF9"/>
    <w:rsid w:val="4E545B4C"/>
    <w:rsid w:val="4E55088B"/>
    <w:rsid w:val="4E7B3B9E"/>
    <w:rsid w:val="4E7F79AD"/>
    <w:rsid w:val="4E9764FE"/>
    <w:rsid w:val="4EA568CB"/>
    <w:rsid w:val="4EAA6232"/>
    <w:rsid w:val="4ECF7A46"/>
    <w:rsid w:val="4EEF00E8"/>
    <w:rsid w:val="4F3C2FF7"/>
    <w:rsid w:val="4F4C1097"/>
    <w:rsid w:val="4F716D4F"/>
    <w:rsid w:val="4FCB13A4"/>
    <w:rsid w:val="4FD86DCF"/>
    <w:rsid w:val="4FFC0D0F"/>
    <w:rsid w:val="503502FF"/>
    <w:rsid w:val="50610B72"/>
    <w:rsid w:val="50681F00"/>
    <w:rsid w:val="507E34D2"/>
    <w:rsid w:val="50E85D6A"/>
    <w:rsid w:val="513149E8"/>
    <w:rsid w:val="5142589F"/>
    <w:rsid w:val="517B3EB5"/>
    <w:rsid w:val="51A831A6"/>
    <w:rsid w:val="51AA02F7"/>
    <w:rsid w:val="51F223CA"/>
    <w:rsid w:val="51FE6E1F"/>
    <w:rsid w:val="52171E30"/>
    <w:rsid w:val="525210BA"/>
    <w:rsid w:val="52946FDD"/>
    <w:rsid w:val="529D6CC7"/>
    <w:rsid w:val="52A15B9E"/>
    <w:rsid w:val="52A35472"/>
    <w:rsid w:val="52B633F7"/>
    <w:rsid w:val="52CC5133"/>
    <w:rsid w:val="52D47D21"/>
    <w:rsid w:val="52E27458"/>
    <w:rsid w:val="52E837CD"/>
    <w:rsid w:val="52F43F1F"/>
    <w:rsid w:val="530D6D8F"/>
    <w:rsid w:val="53146370"/>
    <w:rsid w:val="53634C01"/>
    <w:rsid w:val="53715570"/>
    <w:rsid w:val="5371731E"/>
    <w:rsid w:val="53990623"/>
    <w:rsid w:val="541163A4"/>
    <w:rsid w:val="5418600B"/>
    <w:rsid w:val="54AC2F51"/>
    <w:rsid w:val="54C130EC"/>
    <w:rsid w:val="551C3694"/>
    <w:rsid w:val="553E5926"/>
    <w:rsid w:val="55532D00"/>
    <w:rsid w:val="555836E3"/>
    <w:rsid w:val="557A46A9"/>
    <w:rsid w:val="55AC288F"/>
    <w:rsid w:val="55B1434A"/>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80475F"/>
    <w:rsid w:val="59B91A1F"/>
    <w:rsid w:val="59C26B25"/>
    <w:rsid w:val="59C77C98"/>
    <w:rsid w:val="5A2F1CE1"/>
    <w:rsid w:val="5AD92379"/>
    <w:rsid w:val="5AE12FDB"/>
    <w:rsid w:val="5B3277D6"/>
    <w:rsid w:val="5B484E08"/>
    <w:rsid w:val="5B505186"/>
    <w:rsid w:val="5B793214"/>
    <w:rsid w:val="5B8A3673"/>
    <w:rsid w:val="5BC242B4"/>
    <w:rsid w:val="5BF771A0"/>
    <w:rsid w:val="5C02145B"/>
    <w:rsid w:val="5C1B251D"/>
    <w:rsid w:val="5C2C08FC"/>
    <w:rsid w:val="5C8A31FF"/>
    <w:rsid w:val="5C945926"/>
    <w:rsid w:val="5CB63FF4"/>
    <w:rsid w:val="5CBC1BFF"/>
    <w:rsid w:val="5CC91F79"/>
    <w:rsid w:val="5CCC1A69"/>
    <w:rsid w:val="5CE24DE9"/>
    <w:rsid w:val="5CFA65D6"/>
    <w:rsid w:val="5D347D3A"/>
    <w:rsid w:val="5DD15589"/>
    <w:rsid w:val="5DEF1EB3"/>
    <w:rsid w:val="5E08721E"/>
    <w:rsid w:val="5E4C4C10"/>
    <w:rsid w:val="5E897E68"/>
    <w:rsid w:val="5EAE319D"/>
    <w:rsid w:val="5EC7698C"/>
    <w:rsid w:val="5FB32A6C"/>
    <w:rsid w:val="5FC02A17"/>
    <w:rsid w:val="5FC44C79"/>
    <w:rsid w:val="5FCD71B7"/>
    <w:rsid w:val="600A2FD4"/>
    <w:rsid w:val="601C4AB5"/>
    <w:rsid w:val="6028345A"/>
    <w:rsid w:val="606326E4"/>
    <w:rsid w:val="606D70BF"/>
    <w:rsid w:val="60B40681"/>
    <w:rsid w:val="60C74A21"/>
    <w:rsid w:val="60CA5B9F"/>
    <w:rsid w:val="60E56E68"/>
    <w:rsid w:val="61045C75"/>
    <w:rsid w:val="616A72E2"/>
    <w:rsid w:val="61EE4FF2"/>
    <w:rsid w:val="623E641A"/>
    <w:rsid w:val="625B39D2"/>
    <w:rsid w:val="627D5CDF"/>
    <w:rsid w:val="629B43B7"/>
    <w:rsid w:val="62B4342F"/>
    <w:rsid w:val="62F85366"/>
    <w:rsid w:val="635822A8"/>
    <w:rsid w:val="637B4D97"/>
    <w:rsid w:val="63894210"/>
    <w:rsid w:val="638E5CCA"/>
    <w:rsid w:val="63D61D5D"/>
    <w:rsid w:val="64204EDE"/>
    <w:rsid w:val="649D4417"/>
    <w:rsid w:val="64B60462"/>
    <w:rsid w:val="64C30A36"/>
    <w:rsid w:val="64D92F75"/>
    <w:rsid w:val="65BF660F"/>
    <w:rsid w:val="66111377"/>
    <w:rsid w:val="662B5A52"/>
    <w:rsid w:val="66524D8D"/>
    <w:rsid w:val="665A551B"/>
    <w:rsid w:val="66805D9E"/>
    <w:rsid w:val="66A22C94"/>
    <w:rsid w:val="66DB1226"/>
    <w:rsid w:val="66E8749F"/>
    <w:rsid w:val="670C5884"/>
    <w:rsid w:val="67184F6B"/>
    <w:rsid w:val="67371E56"/>
    <w:rsid w:val="673D77EB"/>
    <w:rsid w:val="677B0314"/>
    <w:rsid w:val="67C10125"/>
    <w:rsid w:val="680D18B3"/>
    <w:rsid w:val="683523F2"/>
    <w:rsid w:val="68774F7F"/>
    <w:rsid w:val="68DF23A7"/>
    <w:rsid w:val="69050959"/>
    <w:rsid w:val="699658D9"/>
    <w:rsid w:val="69EC72A7"/>
    <w:rsid w:val="6A16012B"/>
    <w:rsid w:val="6A1D56B2"/>
    <w:rsid w:val="6A372C18"/>
    <w:rsid w:val="6A7A2B04"/>
    <w:rsid w:val="6A7C1691"/>
    <w:rsid w:val="6AD42215"/>
    <w:rsid w:val="6AD95A7D"/>
    <w:rsid w:val="6B70395E"/>
    <w:rsid w:val="6B720595"/>
    <w:rsid w:val="6BEF0D5F"/>
    <w:rsid w:val="6C046B2A"/>
    <w:rsid w:val="6C353187"/>
    <w:rsid w:val="6C4524F2"/>
    <w:rsid w:val="6C6475C8"/>
    <w:rsid w:val="6C6E6699"/>
    <w:rsid w:val="6CC369E5"/>
    <w:rsid w:val="6CCD7863"/>
    <w:rsid w:val="6D4F4126"/>
    <w:rsid w:val="6D7838A9"/>
    <w:rsid w:val="6DC742B3"/>
    <w:rsid w:val="6DF606F4"/>
    <w:rsid w:val="6E245261"/>
    <w:rsid w:val="6E2C680B"/>
    <w:rsid w:val="6E361438"/>
    <w:rsid w:val="6E4C3167"/>
    <w:rsid w:val="6E9A3775"/>
    <w:rsid w:val="6EBA7973"/>
    <w:rsid w:val="6EDA6095"/>
    <w:rsid w:val="6EF70BC7"/>
    <w:rsid w:val="6F086931"/>
    <w:rsid w:val="6F1352D6"/>
    <w:rsid w:val="6F212F57"/>
    <w:rsid w:val="6F4656AB"/>
    <w:rsid w:val="6F810491"/>
    <w:rsid w:val="6F893788"/>
    <w:rsid w:val="6F912DCA"/>
    <w:rsid w:val="6FA80977"/>
    <w:rsid w:val="6FFE360F"/>
    <w:rsid w:val="7004359C"/>
    <w:rsid w:val="70052393"/>
    <w:rsid w:val="70111D7F"/>
    <w:rsid w:val="70322250"/>
    <w:rsid w:val="70651B61"/>
    <w:rsid w:val="70710506"/>
    <w:rsid w:val="708D1198"/>
    <w:rsid w:val="70961140"/>
    <w:rsid w:val="709A3F00"/>
    <w:rsid w:val="709D12FB"/>
    <w:rsid w:val="70B14B83"/>
    <w:rsid w:val="70F17302"/>
    <w:rsid w:val="712E63F7"/>
    <w:rsid w:val="713066A4"/>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0F0761"/>
    <w:rsid w:val="74381A66"/>
    <w:rsid w:val="7456013E"/>
    <w:rsid w:val="745C3F46"/>
    <w:rsid w:val="745D771F"/>
    <w:rsid w:val="746F2FAE"/>
    <w:rsid w:val="74842EFD"/>
    <w:rsid w:val="748E78D8"/>
    <w:rsid w:val="749D7B1B"/>
    <w:rsid w:val="74B63523"/>
    <w:rsid w:val="74C96B62"/>
    <w:rsid w:val="75287D2D"/>
    <w:rsid w:val="75311864"/>
    <w:rsid w:val="756E770A"/>
    <w:rsid w:val="758A4B94"/>
    <w:rsid w:val="75BE5F9B"/>
    <w:rsid w:val="75E63744"/>
    <w:rsid w:val="762471F0"/>
    <w:rsid w:val="763B75EC"/>
    <w:rsid w:val="769767EC"/>
    <w:rsid w:val="76A31B29"/>
    <w:rsid w:val="76C96E22"/>
    <w:rsid w:val="76E76CF6"/>
    <w:rsid w:val="771816DB"/>
    <w:rsid w:val="77225C52"/>
    <w:rsid w:val="773F135E"/>
    <w:rsid w:val="777C4360"/>
    <w:rsid w:val="779660A9"/>
    <w:rsid w:val="779E0DD3"/>
    <w:rsid w:val="77AE3DED"/>
    <w:rsid w:val="77CD3C2E"/>
    <w:rsid w:val="77E91B2A"/>
    <w:rsid w:val="78397B5B"/>
    <w:rsid w:val="783D0D9D"/>
    <w:rsid w:val="785C1A9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AD95625"/>
    <w:rsid w:val="7B076EE3"/>
    <w:rsid w:val="7B1B5C3E"/>
    <w:rsid w:val="7B226FCC"/>
    <w:rsid w:val="7B2F0499"/>
    <w:rsid w:val="7B4C4049"/>
    <w:rsid w:val="7BA5588B"/>
    <w:rsid w:val="7BFC15CB"/>
    <w:rsid w:val="7C2B0102"/>
    <w:rsid w:val="7C2F7BF3"/>
    <w:rsid w:val="7C664A57"/>
    <w:rsid w:val="7CAA44BB"/>
    <w:rsid w:val="7CAF663E"/>
    <w:rsid w:val="7CB42BB4"/>
    <w:rsid w:val="7CE704CD"/>
    <w:rsid w:val="7D537911"/>
    <w:rsid w:val="7D9F4904"/>
    <w:rsid w:val="7DCF4ABD"/>
    <w:rsid w:val="7DE60785"/>
    <w:rsid w:val="7DE60C95"/>
    <w:rsid w:val="7DF804B8"/>
    <w:rsid w:val="7DFD787D"/>
    <w:rsid w:val="7E392313"/>
    <w:rsid w:val="7EA74FE6"/>
    <w:rsid w:val="7EB443DF"/>
    <w:rsid w:val="7F7D6F04"/>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DF7214A0-C314-4119-B708-801301B26492}">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19A0DE60-FA29-4D92-9243-8E60C98B4EF8}">
  <ds:schemaRefs/>
</ds:datastoreItem>
</file>

<file path=customXml/itemProps5.xml><?xml version="1.0" encoding="utf-8"?>
<ds:datastoreItem xmlns:ds="http://schemas.openxmlformats.org/officeDocument/2006/customXml" ds:itemID="{19D62967-182E-4B59-90A5-31BB25E156BD}">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3A83849B-E06B-4A6A-8627-2FB86F6943F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0</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2024-01-04T05:59:42Z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