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对讲机采购项目（第三</w:t>
      </w:r>
      <w:bookmarkStart w:id="0" w:name="_GoBack"/>
      <w:bookmarkEnd w:id="0"/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次）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1、采购公告中要求提供的营业执照副本复印件（盖章）：对应招标文件4.1条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（盖章）</w:t>
      </w: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2、采购公告中要求提供的法定代表人授权书（盖章）：对应招标文件4.2条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3、采购公告中要求提供的一般资格证明文件（盖章）：对应招标文件4.3条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 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640" w:firstLineChars="11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日期：        年      月      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4、采购公告中要求提供的廉洁承诺书（盖章）：对应招标文件4.4条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5、采购公告中要求提供的商务要求响应表（盖章）：对应招标文件4.5条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标准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符合国家质量标准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参数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工作频段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UHF: 400-470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VHF: 136-174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信道容量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48信道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工作电压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7.2V(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额定）；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标配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2000mAh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电池平均工作时间(5/5/90工作循环高功率发射)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模拟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:16小时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数字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:22小时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频率稳定度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+0.5ppm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天线阻抗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Ω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外形尺寸(高x宽x厚)mm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108x 54x29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，±10%；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备注：此表根据招标文件的“采购清单”参数要求及投标货物情况填写，如有偏离，必须如实说明。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（盖章）：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对应招标文件4.6条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报价书（第二次）</w:t>
      </w:r>
    </w:p>
    <w:p>
      <w:pPr>
        <w:pStyle w:val="3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（本报价书于投标现场由投标的法定代表人或被授权代表人填写）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0931"/>
    <w:rsid w:val="0ABA1442"/>
    <w:rsid w:val="0FD535AC"/>
    <w:rsid w:val="1B4F4498"/>
    <w:rsid w:val="20D670AD"/>
    <w:rsid w:val="272A3BDA"/>
    <w:rsid w:val="279F5912"/>
    <w:rsid w:val="28D8161C"/>
    <w:rsid w:val="2AB95499"/>
    <w:rsid w:val="32076F1E"/>
    <w:rsid w:val="37370CBD"/>
    <w:rsid w:val="43097130"/>
    <w:rsid w:val="49520D78"/>
    <w:rsid w:val="4AA57C3A"/>
    <w:rsid w:val="4C4D01D5"/>
    <w:rsid w:val="4CC3015A"/>
    <w:rsid w:val="5FB04924"/>
    <w:rsid w:val="60AF29B0"/>
    <w:rsid w:val="6A820030"/>
    <w:rsid w:val="7D2722CF"/>
    <w:rsid w:val="7E87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2023-08-09T05:13:00Z</dcterms:created>
  <dc:creator>Administrator</dc:creator>
  <cp:lastModifiedBy>资阳一医院采购孙老师</cp:lastModifiedBy>
  <dcterms:modified xsi:type="dcterms:W3CDTF">2023-09-08T07:54:22Z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