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spacing w:line="360" w:lineRule="auto"/>
        <w:jc w:val="center"/>
        <w:rPr>
          <w:rFonts w:ascii="宋体"/>
          <w:b/>
          <w:bCs/>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资阳市第一人民医院</w:t>
      </w:r>
      <w:r>
        <w:rPr>
          <w:rFonts w:hint="eastAsia" w:ascii="宋体" w:hAnsi="宋体" w:cs="宋体"/>
          <w:b/>
          <w:bCs/>
          <w:spacing w:val="-12"/>
          <w:sz w:val="48"/>
          <w:szCs w:val="48"/>
          <w:lang w:val="en-US" w:eastAsia="zh-CN"/>
        </w:rPr>
        <w:t>不间断电源（UPS）</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bookmarkStart w:id="36" w:name="_GoBack"/>
      <w:bookmarkEnd w:id="36"/>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二三年八月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837"/>
      <w:bookmarkStart w:id="1" w:name="_Toc173895652"/>
      <w:bookmarkStart w:id="2" w:name="_Toc180296779"/>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不间断电源（UPS）</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ascii="宋体"/>
          <w:b/>
          <w:bCs/>
          <w:kern w:val="0"/>
        </w:rPr>
      </w:pPr>
      <w:r>
        <w:rPr>
          <w:rFonts w:hint="eastAsia" w:ascii="宋体" w:hAnsi="宋体" w:cs="宋体"/>
          <w:b/>
          <w:bCs/>
          <w:kern w:val="0"/>
        </w:rPr>
        <w:t>二、比选项目：资阳市第一人民医院</w:t>
      </w:r>
      <w:r>
        <w:rPr>
          <w:rFonts w:hint="eastAsia" w:ascii="宋体" w:hAnsi="宋体" w:cs="宋体"/>
          <w:b/>
          <w:bCs/>
          <w:kern w:val="0"/>
          <w:lang w:val="en-US" w:eastAsia="zh-CN"/>
        </w:rPr>
        <w:t>不间断电源（</w:t>
      </w:r>
      <w:r>
        <w:rPr>
          <w:rFonts w:hint="eastAsia" w:ascii="宋体" w:hAnsi="宋体" w:cs="宋体"/>
          <w:b/>
          <w:bCs/>
          <w:kern w:val="0"/>
          <w:u w:val="single"/>
          <w:lang w:val="en-US" w:eastAsia="zh-CN"/>
        </w:rPr>
        <w:t>UPS</w:t>
      </w:r>
      <w:r>
        <w:rPr>
          <w:rFonts w:hint="eastAsia" w:ascii="宋体" w:hAnsi="宋体" w:cs="宋体"/>
          <w:b/>
          <w:bCs/>
          <w:kern w:val="0"/>
          <w:lang w:val="en-US" w:eastAsia="zh-CN"/>
        </w:rPr>
        <w:t>）</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Ansi="宋体"/>
          <w:kern w:val="0"/>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不间断电源（UPS）</w:t>
      </w:r>
      <w:r>
        <w:rPr>
          <w:rFonts w:hint="eastAsia" w:ascii="宋体" w:hAnsi="宋体" w:cs="宋体"/>
          <w:spacing w:val="-4"/>
        </w:rPr>
        <w:t>一批。</w:t>
      </w:r>
      <w:r>
        <w:rPr>
          <w:rFonts w:hint="eastAsia" w:hAnsi="宋体"/>
          <w:kern w:val="0"/>
        </w:rPr>
        <w:t>本项目最高限价</w:t>
      </w:r>
      <w:r>
        <w:t>1.</w:t>
      </w:r>
      <w:r>
        <w:rPr>
          <w:rFonts w:hint="eastAsia"/>
          <w:lang w:val="en-US" w:eastAsia="zh-CN"/>
        </w:rPr>
        <w:t>2</w:t>
      </w:r>
      <w:r>
        <w:rPr>
          <w:rFonts w:hint="eastAsia"/>
        </w:rPr>
        <w:t>万元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、在中华人民共和国境内注册，具有独立法人资格的合法企业（提供营业执照副本、税务登记证副本、组织机构代码证副本）；营业执照中须有本比选项目的经营许可范围。</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r>
        <w:rPr>
          <w:rFonts w:ascii="宋体" w:hAnsi="宋体" w:cs="宋体"/>
        </w:rPr>
        <w:t>8</w:t>
      </w:r>
      <w:r>
        <w:rPr>
          <w:rFonts w:hint="eastAsia" w:ascii="宋体" w:hAnsi="宋体" w:cs="宋体"/>
        </w:rPr>
        <w:t>月</w:t>
      </w:r>
      <w:r>
        <w:rPr>
          <w:rFonts w:hint="eastAsia" w:ascii="宋体" w:hAnsi="宋体" w:cs="宋体"/>
          <w:lang w:val="en-US" w:eastAsia="zh-CN"/>
        </w:rPr>
        <w:t>31</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bookmarkEnd w:id="5"/>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4</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ascii="宋体" w:hAnsi="宋体" w:cs="宋体"/>
          <w:spacing w:val="-6"/>
          <w:kern w:val="0"/>
        </w:rPr>
        <w:t>3</w:t>
      </w:r>
      <w:r>
        <w:rPr>
          <w:rFonts w:hint="eastAsia" w:ascii="宋体" w:hAnsi="宋体" w:cs="宋体"/>
          <w:spacing w:val="-6"/>
          <w:kern w:val="0"/>
        </w:rPr>
        <w:t>年</w:t>
      </w:r>
      <w:r>
        <w:rPr>
          <w:rFonts w:hint="eastAsia" w:ascii="宋体" w:hAnsi="宋体" w:cs="宋体"/>
          <w:spacing w:val="-6"/>
          <w:kern w:val="0"/>
          <w:u w:val="single"/>
          <w:lang w:val="en-US" w:eastAsia="zh-CN"/>
        </w:rPr>
        <w:t>9</w:t>
      </w:r>
      <w:r>
        <w:rPr>
          <w:rFonts w:hint="eastAsia" w:ascii="宋体" w:hAnsi="宋体" w:cs="宋体"/>
          <w:spacing w:val="-6"/>
          <w:kern w:val="0"/>
        </w:rPr>
        <w:t>月</w:t>
      </w:r>
      <w:r>
        <w:rPr>
          <w:rFonts w:hint="eastAsia" w:ascii="宋体" w:hAnsi="宋体" w:cs="宋体"/>
          <w:spacing w:val="-6"/>
          <w:kern w:val="0"/>
          <w:u w:val="single"/>
          <w:lang w:val="en-US" w:eastAsia="zh-CN"/>
        </w:rPr>
        <w:t>5</w:t>
      </w:r>
      <w:r>
        <w:rPr>
          <w:rFonts w:hint="eastAsia" w:ascii="宋体" w:hAnsi="宋体" w:cs="宋体"/>
          <w:spacing w:val="-6"/>
          <w:kern w:val="0"/>
        </w:rPr>
        <w:t>日</w:t>
      </w:r>
      <w:r>
        <w:rPr>
          <w:rFonts w:ascii="宋体" w:hAnsi="宋体" w:cs="宋体"/>
          <w:spacing w:val="-6"/>
          <w:kern w:val="0"/>
        </w:rPr>
        <w:t>14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递交投标文件，供应商应于递交比选申请文件截止时间之前将比选申请文件送达比选地点，逾期送达比选申请文件将被拒绝。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73895653"/>
      <w:bookmarkStart w:id="10" w:name="_Toc173895838"/>
      <w:bookmarkStart w:id="11" w:name="_Toc180296780"/>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173895655"/>
      <w:bookmarkStart w:id="14" w:name="_Toc211679179"/>
      <w:bookmarkStart w:id="15" w:name="_Toc173895840"/>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rPr>
        <w:t>3年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bookmarkStart w:id="16" w:name="_Toc210211733"/>
            <w:bookmarkStart w:id="17" w:name="_Toc177466666"/>
            <w:bookmarkStart w:id="18" w:name="_Toc115628325"/>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211679181"/>
      <w:bookmarkStart w:id="20" w:name="_Toc173895657"/>
      <w:bookmarkStart w:id="21" w:name="_Toc173895842"/>
      <w:bookmarkStart w:id="22" w:name="_Toc180296784"/>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不间断电源（UPS）</w:t>
      </w:r>
      <w:r>
        <w:rPr>
          <w:rFonts w:hint="eastAsia" w:ascii="宋体" w:hAnsi="宋体" w:cs="宋体"/>
          <w:spacing w:val="-4"/>
        </w:rPr>
        <w:t>制品一批。</w:t>
      </w:r>
      <w:r>
        <w:rPr>
          <w:rFonts w:hint="eastAsia" w:hAnsi="宋体"/>
          <w:kern w:val="0"/>
        </w:rPr>
        <w:t>本项目最高限价</w:t>
      </w:r>
      <w:r>
        <w:t>1.</w:t>
      </w:r>
      <w:r>
        <w:rPr>
          <w:rFonts w:hint="eastAsia"/>
          <w:lang w:val="en-US" w:eastAsia="zh-CN"/>
        </w:rPr>
        <w:t>2</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sz w:val="22"/>
                <w:szCs w:val="16"/>
                <w:lang w:val="en-US" w:eastAsia="zh-CN"/>
              </w:rPr>
              <w:t>不间断电源（</w:t>
            </w:r>
            <w:r>
              <w:rPr>
                <w:rFonts w:hint="eastAsia" w:ascii="宋体" w:hAnsi="宋体" w:cs="宋体"/>
                <w:spacing w:val="-4"/>
                <w:lang w:val="en-US" w:eastAsia="zh-CN"/>
              </w:rPr>
              <w:t>UPS</w:t>
            </w:r>
            <w:r>
              <w:rPr>
                <w:rFonts w:hint="eastAsia" w:ascii="宋体" w:hAnsi="宋体" w:cs="宋体"/>
                <w:color w:val="000000"/>
                <w:sz w:val="22"/>
                <w:szCs w:val="16"/>
                <w:lang w:val="en-US" w:eastAsia="zh-CN"/>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4000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12000</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rPr>
        <w:t>采购</w:t>
      </w:r>
      <w:r>
        <w:rPr>
          <w:rFonts w:ascii="宋体" w:hAnsi="宋体"/>
        </w:rPr>
        <w:t>人</w:t>
      </w:r>
      <w:r>
        <w:rPr>
          <w:rFonts w:hint="eastAsia" w:ascii="宋体" w:hAnsi="宋体"/>
        </w:rPr>
        <w:t>订货后</w:t>
      </w:r>
      <w:r>
        <w:rPr>
          <w:rFonts w:ascii="宋体" w:hAnsi="宋体"/>
        </w:rPr>
        <w:t>5</w:t>
      </w:r>
      <w:r>
        <w:rPr>
          <w:rFonts w:hint="eastAsia" w:ascii="宋体" w:hAnsi="宋体"/>
        </w:rPr>
        <w:t>个工作日内须将货品送到采购人指定地点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后勤物资</w:t>
      </w:r>
      <w:r>
        <w:rPr>
          <w:rFonts w:ascii="宋体" w:hAnsi="宋体"/>
        </w:rPr>
        <w:t>库房</w:t>
      </w:r>
      <w:r>
        <w:rPr>
          <w:rFonts w:hint="eastAsia" w:ascii="宋体" w:hAnsi="宋体"/>
        </w:rPr>
        <w:t>。</w:t>
      </w:r>
    </w:p>
    <w:p>
      <w:pPr>
        <w:spacing w:line="500" w:lineRule="exact"/>
        <w:rPr>
          <w:rFonts w:ascii="宋体"/>
          <w:b/>
          <w:bCs/>
        </w:rPr>
      </w:pPr>
      <w:r>
        <w:rPr>
          <w:rFonts w:ascii="宋体" w:hAnsi="宋体" w:cs="宋体"/>
          <w:b/>
          <w:bCs/>
        </w:rPr>
        <w:t>2</w:t>
      </w:r>
      <w:r>
        <w:rPr>
          <w:rFonts w:hint="eastAsia" w:ascii="宋体" w:hAnsi="宋体" w:cs="宋体"/>
          <w:b/>
          <w:bCs/>
        </w:rPr>
        <w:t>．付款方法和条件：</w:t>
      </w:r>
    </w:p>
    <w:p>
      <w:pPr>
        <w:spacing w:line="276" w:lineRule="auto"/>
        <w:rPr>
          <w:rFonts w:asciiTheme="minorEastAsia" w:hAnsiTheme="minorEastAsia" w:eastAsiaTheme="minorEastAsia"/>
        </w:rPr>
      </w:pPr>
      <w:r>
        <w:rPr>
          <w:rFonts w:hint="eastAsia" w:asciiTheme="minorEastAsia" w:hAnsiTheme="minorEastAsia" w:eastAsiaTheme="minorEastAsia"/>
          <w:bCs/>
        </w:rPr>
        <w:t>采购人收到产品验收合格、产品正常使用、发票齐全后，</w:t>
      </w:r>
      <w:r>
        <w:rPr>
          <w:rFonts w:hint="eastAsia" w:asciiTheme="minorEastAsia" w:hAnsiTheme="minorEastAsia" w:eastAsiaTheme="minorEastAsia"/>
        </w:rPr>
        <w:t>次月内</w:t>
      </w:r>
      <w:r>
        <w:rPr>
          <w:rFonts w:asciiTheme="minorEastAsia" w:hAnsiTheme="minorEastAsia" w:eastAsiaTheme="minorEastAsia"/>
        </w:rPr>
        <w:t>支付全部款项。</w:t>
      </w:r>
    </w:p>
    <w:p>
      <w:pPr>
        <w:pStyle w:val="2"/>
        <w:rPr>
          <w:b/>
        </w:rPr>
      </w:pPr>
      <w:r>
        <w:rPr>
          <w:rFonts w:hint="eastAsia"/>
          <w:b/>
        </w:rPr>
        <w:t>3. 售后</w:t>
      </w:r>
      <w:r>
        <w:rPr>
          <w:b/>
        </w:rPr>
        <w:t>服务</w:t>
      </w:r>
    </w:p>
    <w:p>
      <w:pPr>
        <w:pStyle w:val="2"/>
      </w:pPr>
      <w:r>
        <w:rPr>
          <w:rFonts w:hint="eastAsia"/>
        </w:rPr>
        <w:t>3.1 负责</w:t>
      </w:r>
      <w:r>
        <w:t>产品配送、</w:t>
      </w:r>
      <w:r>
        <w:rPr>
          <w:rFonts w:hint="eastAsia"/>
        </w:rPr>
        <w:t>安装</w:t>
      </w:r>
      <w:r>
        <w:t>、</w:t>
      </w:r>
      <w:r>
        <w:rPr>
          <w:rFonts w:hint="eastAsia"/>
        </w:rPr>
        <w:t>操作</w:t>
      </w:r>
      <w:r>
        <w:t>使用的培训。</w:t>
      </w:r>
    </w:p>
    <w:p>
      <w:r>
        <w:t xml:space="preserve">3.2 </w:t>
      </w:r>
      <w:r>
        <w:rPr>
          <w:rFonts w:hint="eastAsia"/>
        </w:rPr>
        <w:t>质保期</w:t>
      </w:r>
      <w:r>
        <w:t>≥1</w:t>
      </w:r>
      <w:r>
        <w:rPr>
          <w:rFonts w:hint="eastAsia"/>
        </w:rPr>
        <w:t>年</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按约定提供产品，需及时通知采购人。</w:t>
      </w:r>
    </w:p>
    <w:p>
      <w:r>
        <w:t xml:space="preserve">4.3 </w:t>
      </w:r>
      <w:r>
        <w:rPr>
          <w:rFonts w:hint="eastAsia"/>
        </w:rPr>
        <w:t>为</w:t>
      </w:r>
      <w:r>
        <w:t>保障工作联系，中标人需安排联系人并添加采购人工作</w:t>
      </w:r>
      <w:r>
        <w:rPr>
          <w:rFonts w:hint="eastAsia"/>
        </w:rPr>
        <w:t>QQ2371221310</w:t>
      </w:r>
    </w:p>
    <w:p>
      <w:pPr>
        <w:pStyle w:val="2"/>
      </w:pPr>
    </w:p>
    <w:p>
      <w:pPr>
        <w:pStyle w:val="4"/>
        <w:numPr>
          <w:ilvl w:val="0"/>
          <w:numId w:val="0"/>
        </w:numPr>
        <w:spacing w:before="0" w:after="0" w:line="336" w:lineRule="auto"/>
        <w:jc w:val="left"/>
      </w:pPr>
      <w:r>
        <w:rPr>
          <w:rFonts w:hint="eastAsia"/>
        </w:rPr>
        <w:t>★三、技术参数要求</w:t>
      </w:r>
    </w:p>
    <w:p>
      <w:pPr>
        <w:pStyle w:val="2"/>
        <w:rPr>
          <w:b/>
        </w:rPr>
      </w:pPr>
      <w:r>
        <w:rPr>
          <w:b/>
        </w:rPr>
        <w:t>0</w:t>
      </w:r>
      <w:r>
        <w:rPr>
          <w:rFonts w:hint="eastAsia"/>
          <w:b/>
        </w:rPr>
        <w:t>1-</w:t>
      </w:r>
      <w:r>
        <w:rPr>
          <w:b/>
        </w:rPr>
        <w:t>0</w:t>
      </w:r>
      <w:r>
        <w:rPr>
          <w:rFonts w:hint="eastAsia"/>
          <w:b/>
        </w:rPr>
        <w:t xml:space="preserve">1 </w:t>
      </w:r>
      <w:r>
        <w:rPr>
          <w:rFonts w:hint="eastAsia"/>
          <w:b/>
          <w:lang w:val="en-US" w:eastAsia="zh-CN"/>
        </w:rPr>
        <w:t>不间断电源（UPS）</w:t>
      </w:r>
    </w:p>
    <w:p>
      <w:pPr>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 xml:space="preserve"> </w:t>
      </w:r>
      <w:r>
        <w:t>在线式</w:t>
      </w:r>
      <w:r>
        <w:rPr>
          <w:rFonts w:hint="eastAsia"/>
          <w:lang w:eastAsia="zh-CN"/>
        </w:rPr>
        <w:t>UPS</w:t>
      </w:r>
      <w:r>
        <w:t>电源，有市电时为逆变器输出提供稳定的正弦波电源，市电供电出现故障或中断时为逆变器提供直流电源，保证</w:t>
      </w:r>
      <w:r>
        <w:rPr>
          <w:rFonts w:hint="eastAsia"/>
          <w:lang w:eastAsia="zh-CN"/>
        </w:rPr>
        <w:t>UPS</w:t>
      </w:r>
      <w:r>
        <w:t>电</w:t>
      </w:r>
      <w:r>
        <w:rPr>
          <w:rFonts w:hint="eastAsia"/>
          <w:lang w:val="en-US" w:eastAsia="zh-CN"/>
        </w:rPr>
        <w:t>源</w:t>
      </w:r>
      <w:r>
        <w:t>的逆变器输出无时间中断；</w:t>
      </w:r>
    </w:p>
    <w:p>
      <w:r>
        <w:rPr>
          <w:rFonts w:cs="宋体" w:asciiTheme="minorEastAsia" w:hAnsiTheme="minorEastAsia" w:eastAsiaTheme="minorEastAsia"/>
        </w:rPr>
        <w:t xml:space="preserve">2. </w:t>
      </w:r>
      <w:r>
        <w:t>容量≥3000VA/2700W;</w:t>
      </w:r>
    </w:p>
    <w:p>
      <w:r>
        <w:t xml:space="preserve">3. 输入参数(市电):电压115～300VAC; </w:t>
      </w:r>
    </w:p>
    <w:p>
      <w:r>
        <w:rPr>
          <w:rFonts w:hint="eastAsia"/>
        </w:rPr>
        <w:t xml:space="preserve">4. </w:t>
      </w:r>
      <w:r>
        <w:t>输出参数：电压220VAC、精度±2%、锁相46～54Hz/锁相54～66Hz、频率(电池模式)50/60Hz+0.05Hz、电流峰值比3:1、输出波形为纯净正弦输出、市电模式过载能力105%～150%:47s～25s、市电模式过载能力150%～200%:25s～300s;</w:t>
      </w:r>
    </w:p>
    <w:p>
      <w:r>
        <w:rPr>
          <w:rFonts w:hint="eastAsia"/>
          <w:lang w:val="en-US" w:eastAsia="zh-CN"/>
        </w:rPr>
        <w:t xml:space="preserve">5.  </w:t>
      </w:r>
      <w:r>
        <w:t>效率(市电模式)&gt;90%;</w:t>
      </w:r>
    </w:p>
    <w:p>
      <w:pPr>
        <w:rPr>
          <w:rFonts w:hint="default"/>
          <w:lang w:val="en-US" w:eastAsia="zh-CN"/>
        </w:rPr>
      </w:pPr>
      <w:r>
        <w:rPr>
          <w:rFonts w:hint="eastAsia"/>
          <w:lang w:val="en-US" w:eastAsia="zh-CN"/>
        </w:rPr>
        <w:t xml:space="preserve">6. </w:t>
      </w:r>
      <w:r>
        <w:t>电池及充电参数：电压72VDC、类型9AH、后备时间&gt;30min、回冲时间7小时冲至90%、充电电流1.0A;</w:t>
      </w:r>
    </w:p>
    <w:p>
      <w:r>
        <w:rPr>
          <w:rFonts w:hint="eastAsia"/>
          <w:lang w:val="en-US" w:eastAsia="zh-CN"/>
        </w:rPr>
        <w:t xml:space="preserve">7.  </w:t>
      </w:r>
      <w:r>
        <w:t xml:space="preserve">转换时间0ms; </w:t>
      </w:r>
    </w:p>
    <w:p>
      <w:pPr>
        <w:rPr>
          <w:rFonts w:hint="default"/>
          <w:lang w:val="en-US" w:eastAsia="zh-CN"/>
        </w:rPr>
      </w:pPr>
      <w:r>
        <w:rPr>
          <w:rFonts w:hint="eastAsia"/>
          <w:lang w:val="en-US" w:eastAsia="zh-CN"/>
        </w:rPr>
        <w:t xml:space="preserve">8.  </w:t>
      </w:r>
      <w:r>
        <w:t>LED显示：</w:t>
      </w:r>
      <w:r>
        <w:rPr>
          <w:rFonts w:hint="eastAsia"/>
          <w:lang w:val="en-US" w:eastAsia="zh-CN"/>
        </w:rPr>
        <w:t>包含但不限于</w:t>
      </w:r>
      <w:r>
        <w:t>负载/电量/输入/输出/运行模式；</w:t>
      </w:r>
      <w:r>
        <w:br w:type="textWrapping"/>
      </w:r>
      <w:r>
        <w:rPr>
          <w:rFonts w:hint="eastAsia"/>
          <w:lang w:val="en-US" w:eastAsia="zh-CN"/>
        </w:rPr>
        <w:t xml:space="preserve">9.  </w:t>
      </w:r>
      <w:r>
        <w:t>噪声&lt;55db,距离1米内；</w:t>
      </w:r>
      <w:r>
        <w:br w:type="textWrapping"/>
      </w:r>
      <w:r>
        <w:rPr>
          <w:rFonts w:hint="eastAsia"/>
          <w:lang w:val="en-US" w:eastAsia="zh-CN"/>
        </w:rPr>
        <w:t xml:space="preserve">10.  </w:t>
      </w:r>
      <w:r>
        <w:t>保护功能：包含电池欠压、过载、短路、过温保护；</w:t>
      </w:r>
    </w:p>
    <w:p>
      <w:pPr>
        <w:rPr>
          <w:rFonts w:hint="eastAsia" w:eastAsia="宋体"/>
          <w:lang w:eastAsia="zh-CN"/>
        </w:rPr>
      </w:pPr>
      <w:r>
        <w:rPr>
          <w:rFonts w:hint="eastAsia"/>
          <w:lang w:val="en-US" w:eastAsia="zh-CN"/>
        </w:rPr>
        <w:t xml:space="preserve">11.  </w:t>
      </w:r>
      <w:r>
        <w:t>输出方式：输出插座+接线排</w:t>
      </w:r>
      <w:r>
        <w:rPr>
          <w:rFonts w:hint="eastAsia"/>
          <w:lang w:eastAsia="zh-CN"/>
        </w:rPr>
        <w:t>；</w:t>
      </w:r>
    </w:p>
    <w:p>
      <w:pPr>
        <w:rPr>
          <w:rFonts w:hint="eastAsia"/>
          <w:lang w:val="en-US" w:eastAsia="zh-CN"/>
        </w:rPr>
      </w:pPr>
      <w:r>
        <w:rPr>
          <w:rFonts w:hint="eastAsia"/>
          <w:lang w:val="en-US" w:eastAsia="zh-CN"/>
        </w:rPr>
        <w:t>12.  提供检节能认证/广电认证；</w:t>
      </w:r>
    </w:p>
    <w:p>
      <w:pPr>
        <w:pStyle w:val="2"/>
        <w:rPr>
          <w:rFonts w:hint="eastAsia"/>
          <w:lang w:val="en-US" w:eastAsia="zh-CN"/>
        </w:rPr>
      </w:pPr>
      <w:r>
        <w:rPr>
          <w:rFonts w:hint="eastAsia"/>
          <w:lang w:val="en-US" w:eastAsia="zh-CN"/>
        </w:rPr>
        <w:t>13.  为彩超提供稳定电压、频率、滤皮、抗电磁和射频干扰、防止电压突然中断等功能；</w:t>
      </w:r>
    </w:p>
    <w:p>
      <w:pPr>
        <w:rPr>
          <w:rFonts w:hint="default"/>
          <w:lang w:val="en-US" w:eastAsia="zh-CN"/>
        </w:rPr>
      </w:pPr>
      <w:r>
        <w:rPr>
          <w:rFonts w:hint="eastAsia"/>
          <w:lang w:val="en-US" w:eastAsia="zh-CN"/>
        </w:rPr>
        <w:t>14.  重量＜10kg。</w:t>
      </w:r>
    </w:p>
    <w:p>
      <w: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211679186"/>
      <w:bookmarkStart w:id="28" w:name="_Toc173895659"/>
      <w:bookmarkStart w:id="29" w:name="_Toc173895847"/>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spacing w:line="400" w:lineRule="exact"/>
        <w:ind w:left="735" w:hanging="735" w:hangingChars="350"/>
        <w:jc w:val="left"/>
        <w:rPr>
          <w:rFonts w:ascii="宋体"/>
          <w:kern w:val="0"/>
        </w:rPr>
      </w:pP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757624F"/>
    <w:rsid w:val="07F10452"/>
    <w:rsid w:val="086F1377"/>
    <w:rsid w:val="0876485A"/>
    <w:rsid w:val="08C34CE7"/>
    <w:rsid w:val="0906268A"/>
    <w:rsid w:val="0B985648"/>
    <w:rsid w:val="0BEF5AD9"/>
    <w:rsid w:val="0BFB2CA8"/>
    <w:rsid w:val="0C253C4D"/>
    <w:rsid w:val="0CFA5FDF"/>
    <w:rsid w:val="0D4F4C43"/>
    <w:rsid w:val="0D677904"/>
    <w:rsid w:val="0E0407B3"/>
    <w:rsid w:val="0E230024"/>
    <w:rsid w:val="10443A9C"/>
    <w:rsid w:val="10BC5375"/>
    <w:rsid w:val="10C116E5"/>
    <w:rsid w:val="127D0416"/>
    <w:rsid w:val="12D27AA1"/>
    <w:rsid w:val="13436824"/>
    <w:rsid w:val="14F745A8"/>
    <w:rsid w:val="15455939"/>
    <w:rsid w:val="15B84A34"/>
    <w:rsid w:val="15D51D78"/>
    <w:rsid w:val="16432F4E"/>
    <w:rsid w:val="16A86180"/>
    <w:rsid w:val="177D6537"/>
    <w:rsid w:val="17EF431F"/>
    <w:rsid w:val="18027B12"/>
    <w:rsid w:val="19185113"/>
    <w:rsid w:val="1A1C5C79"/>
    <w:rsid w:val="1A9A17A9"/>
    <w:rsid w:val="1B0436DA"/>
    <w:rsid w:val="1B5808E4"/>
    <w:rsid w:val="1B7B0983"/>
    <w:rsid w:val="1CD13A03"/>
    <w:rsid w:val="1D8B67FB"/>
    <w:rsid w:val="1F8302AF"/>
    <w:rsid w:val="20176124"/>
    <w:rsid w:val="21815B54"/>
    <w:rsid w:val="21AF0D0A"/>
    <w:rsid w:val="21C54695"/>
    <w:rsid w:val="220B59C1"/>
    <w:rsid w:val="22920F68"/>
    <w:rsid w:val="22A255C7"/>
    <w:rsid w:val="23162280"/>
    <w:rsid w:val="2369313B"/>
    <w:rsid w:val="24E7641E"/>
    <w:rsid w:val="254A62BB"/>
    <w:rsid w:val="2551032A"/>
    <w:rsid w:val="27793664"/>
    <w:rsid w:val="288B76AF"/>
    <w:rsid w:val="29A507F5"/>
    <w:rsid w:val="2A532A2E"/>
    <w:rsid w:val="2C216795"/>
    <w:rsid w:val="2C267E1B"/>
    <w:rsid w:val="2C8A7DD3"/>
    <w:rsid w:val="2D742E08"/>
    <w:rsid w:val="2DAC07F4"/>
    <w:rsid w:val="2E296928"/>
    <w:rsid w:val="2F104DB2"/>
    <w:rsid w:val="2F6918CE"/>
    <w:rsid w:val="2FB93803"/>
    <w:rsid w:val="311D2557"/>
    <w:rsid w:val="314F4955"/>
    <w:rsid w:val="317226E8"/>
    <w:rsid w:val="335812BA"/>
    <w:rsid w:val="34004BDD"/>
    <w:rsid w:val="34C61103"/>
    <w:rsid w:val="34EF6AC7"/>
    <w:rsid w:val="36077F58"/>
    <w:rsid w:val="38CC250B"/>
    <w:rsid w:val="3A110093"/>
    <w:rsid w:val="3A532F29"/>
    <w:rsid w:val="3B876595"/>
    <w:rsid w:val="3CDB07AE"/>
    <w:rsid w:val="3CE2527D"/>
    <w:rsid w:val="3DBB4CCB"/>
    <w:rsid w:val="3EB92D70"/>
    <w:rsid w:val="3F6358F0"/>
    <w:rsid w:val="41FD0523"/>
    <w:rsid w:val="446E46AD"/>
    <w:rsid w:val="44B51E27"/>
    <w:rsid w:val="45062140"/>
    <w:rsid w:val="45A32084"/>
    <w:rsid w:val="45E5392F"/>
    <w:rsid w:val="46661252"/>
    <w:rsid w:val="47044E98"/>
    <w:rsid w:val="47866ABC"/>
    <w:rsid w:val="484339D2"/>
    <w:rsid w:val="4885155F"/>
    <w:rsid w:val="48FD7CFE"/>
    <w:rsid w:val="4994190E"/>
    <w:rsid w:val="49F27FBC"/>
    <w:rsid w:val="4CA60843"/>
    <w:rsid w:val="4CD40D75"/>
    <w:rsid w:val="4DA40BCE"/>
    <w:rsid w:val="4DED6593"/>
    <w:rsid w:val="4E545B4C"/>
    <w:rsid w:val="4EA568CB"/>
    <w:rsid w:val="4FCB13A4"/>
    <w:rsid w:val="503502FF"/>
    <w:rsid w:val="50E85D6A"/>
    <w:rsid w:val="5142589F"/>
    <w:rsid w:val="51FE6E1F"/>
    <w:rsid w:val="529D6CC7"/>
    <w:rsid w:val="52CC5133"/>
    <w:rsid w:val="52E27458"/>
    <w:rsid w:val="53715570"/>
    <w:rsid w:val="54AC2F51"/>
    <w:rsid w:val="54C130EC"/>
    <w:rsid w:val="551C3694"/>
    <w:rsid w:val="55532D00"/>
    <w:rsid w:val="557A46A9"/>
    <w:rsid w:val="57CD3824"/>
    <w:rsid w:val="590D1897"/>
    <w:rsid w:val="5B3277D6"/>
    <w:rsid w:val="5BC242B4"/>
    <w:rsid w:val="5FCD71B7"/>
    <w:rsid w:val="616A72E2"/>
    <w:rsid w:val="61EE4FF2"/>
    <w:rsid w:val="623E641A"/>
    <w:rsid w:val="625B39D2"/>
    <w:rsid w:val="629B43B7"/>
    <w:rsid w:val="637B4D97"/>
    <w:rsid w:val="63D61D5D"/>
    <w:rsid w:val="64C30A36"/>
    <w:rsid w:val="67184F6B"/>
    <w:rsid w:val="683523F2"/>
    <w:rsid w:val="69050959"/>
    <w:rsid w:val="6A16012B"/>
    <w:rsid w:val="6B70395E"/>
    <w:rsid w:val="6BEF0D5F"/>
    <w:rsid w:val="6C4524F2"/>
    <w:rsid w:val="6CCD7863"/>
    <w:rsid w:val="6E4C3167"/>
    <w:rsid w:val="6E9A3775"/>
    <w:rsid w:val="6EBA7973"/>
    <w:rsid w:val="6F893788"/>
    <w:rsid w:val="7004359C"/>
    <w:rsid w:val="70052393"/>
    <w:rsid w:val="70111D7F"/>
    <w:rsid w:val="70322250"/>
    <w:rsid w:val="708D1198"/>
    <w:rsid w:val="70F17302"/>
    <w:rsid w:val="714B3183"/>
    <w:rsid w:val="715C2793"/>
    <w:rsid w:val="72115ECC"/>
    <w:rsid w:val="73125DCE"/>
    <w:rsid w:val="73B61051"/>
    <w:rsid w:val="73FB3657"/>
    <w:rsid w:val="745C3F46"/>
    <w:rsid w:val="745D771F"/>
    <w:rsid w:val="74842EFD"/>
    <w:rsid w:val="75287D2D"/>
    <w:rsid w:val="76A31B29"/>
    <w:rsid w:val="77225C52"/>
    <w:rsid w:val="779660A9"/>
    <w:rsid w:val="779E0DD3"/>
    <w:rsid w:val="788A0E9F"/>
    <w:rsid w:val="79E51C93"/>
    <w:rsid w:val="7B2F0499"/>
    <w:rsid w:val="7C2F7BF3"/>
    <w:rsid w:val="7CAA44BB"/>
    <w:rsid w:val="7EA74FE6"/>
    <w:rsid w:val="7FA827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A660DF65-323F-42AA-BA0B-9C370B9BA8D6}">
  <ds:schemaRefs/>
</ds:datastoreItem>
</file>

<file path=customXml/itemProps2.xml><?xml version="1.0" encoding="utf-8"?>
<ds:datastoreItem xmlns:ds="http://schemas.openxmlformats.org/officeDocument/2006/customXml" ds:itemID="{DF7214A0-C314-4119-B708-801301B26492}">
  <ds:schemaRefs/>
</ds:datastoreItem>
</file>

<file path=customXml/itemProps3.xml><?xml version="1.0" encoding="utf-8"?>
<ds:datastoreItem xmlns:ds="http://schemas.openxmlformats.org/officeDocument/2006/customXml" ds:itemID="{3A83849B-E06B-4A6A-8627-2FB86F6943F3}">
  <ds:schemaRefs/>
</ds:datastoreItem>
</file>

<file path=customXml/itemProps4.xml><?xml version="1.0" encoding="utf-8"?>
<ds:datastoreItem xmlns:ds="http://schemas.openxmlformats.org/officeDocument/2006/customXml" ds:itemID="{771F4D1F-D3F9-4EE5-89C5-F916F6F69094}">
  <ds:schemaRefs/>
</ds:datastoreItem>
</file>

<file path=customXml/itemProps5.xml><?xml version="1.0" encoding="utf-8"?>
<ds:datastoreItem xmlns:ds="http://schemas.openxmlformats.org/officeDocument/2006/customXml" ds:itemID="{B0C12A16-096F-4317-BD19-172378C2C9C1}">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19D62967-182E-4B59-90A5-31BB25E156BD}">
  <ds:schemaRefs/>
</ds:datastoreItem>
</file>

<file path=customXml/itemProps8.xml><?xml version="1.0" encoding="utf-8"?>
<ds:datastoreItem xmlns:ds="http://schemas.openxmlformats.org/officeDocument/2006/customXml" ds:itemID="{19A0DE60-FA29-4D92-9243-8E60C98B4EF8}">
  <ds:schemaRefs/>
</ds:datastoreItem>
</file>

<file path=customXml/itemProps9.xml><?xml version="1.0" encoding="utf-8"?>
<ds:datastoreItem xmlns:ds="http://schemas.openxmlformats.org/officeDocument/2006/customXml" ds:itemID="{0A6A13A8-AF9F-43EA-B4B9-278A88CA79F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5159</Words>
  <Characters>5418</Characters>
  <Lines>40</Lines>
  <Paragraphs>11</Paragraphs>
  <TotalTime>0</TotalTime>
  <ScaleCrop>false</ScaleCrop>
  <LinksUpToDate>false</LinksUpToDate>
  <CharactersWithSpaces>5509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2023-08-23T01:04:00Z</cp:lastPrinted>
  <dcterms:modified xsi:type="dcterms:W3CDTF">2023-08-30T05:49:28Z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B081B714B2454F68B5A5C8D1D6A4715A</vt:lpwstr>
  </property>
</Properties>
</file>