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lang w:eastAsia="zh-CN"/>
        </w:rPr>
        <w:t>附件</w:t>
      </w:r>
      <w:r>
        <w:rPr>
          <w:rFonts w:hint="eastAsia"/>
          <w:lang w:val="en-US" w:eastAsia="zh-CN"/>
        </w:rPr>
        <w:t>1：</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5"/>
        <w:gridCol w:w="2214"/>
        <w:gridCol w:w="2214"/>
        <w:gridCol w:w="2214"/>
        <w:gridCol w:w="1490"/>
        <w:gridCol w:w="1814"/>
        <w:gridCol w:w="1693"/>
        <w:gridCol w:w="1683"/>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9"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0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70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70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产品公司名称</w:t>
            </w:r>
          </w:p>
        </w:tc>
        <w:tc>
          <w:tcPr>
            <w:tcW w:w="47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（包干价)万元</w:t>
            </w:r>
          </w:p>
        </w:tc>
        <w:tc>
          <w:tcPr>
            <w:tcW w:w="58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54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53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联系邮箱</w:t>
            </w:r>
          </w:p>
        </w:tc>
        <w:tc>
          <w:tcPr>
            <w:tcW w:w="419"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09"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2：</w:t>
      </w:r>
    </w:p>
    <w:tbl>
      <w:tblPr>
        <w:tblStyle w:val="4"/>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981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供应商资质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一、参加调研的供应商应具备下列资格条件：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0" w:hRule="atLeast"/>
          <w:jc w:val="center"/>
        </w:trPr>
        <w:tc>
          <w:tcPr>
            <w:tcW w:w="9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1.具有独立承担民事责任的能力。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2.具有良好的商业信誉和健全的财务会计制度。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3.具有履行合同所必须的设备和专业技术能力。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4.有依法缴纳税收（国税或地税）和社会保障资金的良好记录。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5.参加本次政府采购活动前三年内，在经营活动中没有重大违法记录。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6.法律、行政法规规定的其他条件。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7.根据采购项目提出的特殊条件：无。</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若采购产品为包含医疗器械的，投标人须符合《医疗器械监督管理条例》要求并提供投标人经营该产品的经营许可/经营备案证明材料；投标产品须符合《医疗器械注册管理办法》要求并提供产品的注册/备案证明材料；</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投标人非投标产品（若是进口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tc>
      </w:tr>
    </w:tbl>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eastAsia="zh-CN"/>
        </w:rPr>
        <w:t>附件</w:t>
      </w:r>
      <w:r>
        <w:rPr>
          <w:rFonts w:hint="eastAsia"/>
          <w:lang w:val="en-US" w:eastAsia="zh-CN"/>
        </w:rPr>
        <w:t>3：</w:t>
      </w:r>
    </w:p>
    <w:tbl>
      <w:tblPr>
        <w:tblStyle w:val="4"/>
        <w:tblW w:w="46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1573"/>
        <w:gridCol w:w="1325"/>
        <w:gridCol w:w="1857"/>
        <w:gridCol w:w="2604"/>
        <w:gridCol w:w="906"/>
        <w:gridCol w:w="1149"/>
        <w:gridCol w:w="1337"/>
        <w:gridCol w:w="1230"/>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302"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44"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456"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64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lang w:val="en-US" w:eastAsia="zh-CN" w:bidi="ar"/>
              </w:rPr>
            </w:pPr>
            <w:r>
              <w:rPr>
                <w:rStyle w:val="11"/>
                <w:lang w:val="en-US" w:eastAsia="zh-CN" w:bidi="ar"/>
              </w:rPr>
              <w:t>报价</w:t>
            </w:r>
          </w:p>
          <w:p>
            <w:pPr>
              <w:keepNext w:val="0"/>
              <w:keepLines w:val="0"/>
              <w:widowControl/>
              <w:suppressLineNumbers w:val="0"/>
              <w:jc w:val="center"/>
              <w:textAlignment w:val="center"/>
              <w:rPr>
                <w:rStyle w:val="12"/>
                <w:lang w:val="en-US" w:eastAsia="zh-CN" w:bidi="ar"/>
              </w:rPr>
            </w:pPr>
            <w:r>
              <w:rPr>
                <w:rStyle w:val="12"/>
                <w:lang w:val="en-US" w:eastAsia="zh-CN" w:bidi="ar"/>
              </w:rPr>
              <w:t>（包干价)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lang w:val="en-US" w:eastAsia="zh-CN" w:bidi="ar"/>
              </w:rPr>
              <w:t>万元</w:t>
            </w:r>
          </w:p>
        </w:tc>
        <w:tc>
          <w:tcPr>
            <w:tcW w:w="90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该产品在国内三甲医院用户案例及价格及评级情况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（省内优先列举3-5个）</w:t>
            </w:r>
          </w:p>
        </w:tc>
        <w:tc>
          <w:tcPr>
            <w:tcW w:w="31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实施周期</w:t>
            </w:r>
          </w:p>
        </w:tc>
        <w:tc>
          <w:tcPr>
            <w:tcW w:w="39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1"/>
                <w:lang w:val="en-US" w:eastAsia="zh-CN" w:bidi="ar"/>
              </w:rPr>
            </w:pPr>
            <w:r>
              <w:rPr>
                <w:rStyle w:val="11"/>
                <w:lang w:val="en-US" w:eastAsia="zh-CN" w:bidi="ar"/>
              </w:rPr>
              <w:t>免费</w:t>
            </w:r>
          </w:p>
          <w:p>
            <w:pPr>
              <w:keepNext w:val="0"/>
              <w:keepLines w:val="0"/>
              <w:widowControl/>
              <w:suppressLineNumbers w:val="0"/>
              <w:jc w:val="center"/>
              <w:textAlignment w:val="center"/>
              <w:rPr>
                <w:rStyle w:val="11"/>
                <w:lang w:val="en-US" w:eastAsia="zh-CN" w:bidi="ar"/>
              </w:rPr>
            </w:pPr>
            <w:r>
              <w:rPr>
                <w:rStyle w:val="11"/>
                <w:lang w:val="en-US" w:eastAsia="zh-CN" w:bidi="ar"/>
              </w:rPr>
              <w:t>质保期</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ar"/>
              </w:rPr>
              <w:t>（3年及以上）</w:t>
            </w:r>
          </w:p>
        </w:tc>
        <w:tc>
          <w:tcPr>
            <w:tcW w:w="46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后期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维护费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（比例）</w:t>
            </w:r>
          </w:p>
        </w:tc>
        <w:tc>
          <w:tcPr>
            <w:tcW w:w="42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优势特色</w:t>
            </w:r>
          </w:p>
        </w:tc>
        <w:tc>
          <w:tcPr>
            <w:tcW w:w="555"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304" w:type="pct"/>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46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1.《关于XXXXXXXXX指导意见》：XXXXXXXXXXXXXXXXXXX（填写样例）</w:t>
            </w:r>
          </w:p>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2.《关于XXXXXXXXX指导意见》：XXXXXXXXXXXXXXXXXXX（填写样例）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46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建设必要性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46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建设目标、效益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000" w:type="pct"/>
            <w:gridSpan w:val="10"/>
            <w:tcBorders>
              <w:top w:val="single" w:color="000000" w:sz="4"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302"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469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评级对标情况</w:t>
            </w:r>
          </w:p>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（涉及电子病历系统应用水平分级评价、国家医疗健康信息互联互通标准化成熟度测评、医院智慧服务分级评估、医院智慧管理分级评估、四川省智慧医院评价等行业标准对标情况，内容较多可另附页）</w:t>
            </w:r>
          </w:p>
        </w:tc>
      </w:tr>
    </w:tbl>
    <w:p>
      <w:pPr>
        <w:jc w:val="left"/>
        <w:rPr>
          <w:rFonts w:hint="eastAsia" w:ascii="宋体" w:hAnsi="宋体" w:eastAsia="宋体" w:cs="宋体"/>
          <w:b/>
          <w:bCs/>
          <w:sz w:val="32"/>
          <w:szCs w:val="32"/>
          <w:lang w:val="en-US" w:eastAsia="zh-CN"/>
        </w:rPr>
      </w:pPr>
    </w:p>
    <w:p>
      <w:pPr>
        <w:jc w:val="left"/>
        <w:rPr>
          <w:rFonts w:hint="eastAsia" w:ascii="宋体" w:hAnsi="宋体" w:eastAsia="宋体" w:cs="宋体"/>
          <w:b/>
          <w:bCs/>
          <w:sz w:val="32"/>
          <w:szCs w:val="32"/>
          <w:lang w:val="en-US" w:eastAsia="zh-CN"/>
        </w:rPr>
      </w:pPr>
    </w:p>
    <w:p>
      <w:pPr>
        <w:jc w:val="left"/>
        <w:rPr>
          <w:rFonts w:hint="eastAsia" w:ascii="宋体" w:hAnsi="宋体" w:eastAsia="宋体" w:cs="宋体"/>
          <w:b/>
          <w:bCs/>
          <w:sz w:val="32"/>
          <w:szCs w:val="32"/>
          <w:lang w:val="en-US" w:eastAsia="zh-CN"/>
        </w:rPr>
      </w:pPr>
    </w:p>
    <w:p>
      <w:pPr>
        <w:jc w:val="left"/>
        <w:rPr>
          <w:rFonts w:hint="eastAsia" w:ascii="宋体" w:hAnsi="宋体" w:eastAsia="宋体" w:cs="宋体"/>
          <w:b/>
          <w:bCs/>
          <w:sz w:val="32"/>
          <w:szCs w:val="32"/>
          <w:lang w:val="en-US" w:eastAsia="zh-CN"/>
        </w:rPr>
      </w:pPr>
    </w:p>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附件4：</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无纸化系统项目配置清单</w:t>
      </w:r>
    </w:p>
    <w:tbl>
      <w:tblPr>
        <w:tblStyle w:val="4"/>
        <w:tblpPr w:leftFromText="180" w:rightFromText="180" w:vertAnchor="text" w:horzAnchor="page" w:tblpX="2196" w:tblpY="611"/>
        <w:tblOverlap w:val="never"/>
        <w:tblW w:w="13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1969"/>
        <w:gridCol w:w="7188"/>
        <w:gridCol w:w="1050"/>
        <w:gridCol w:w="311"/>
        <w:gridCol w:w="72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主要功能描述</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数量</w:t>
            </w: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报价</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11" w:type="dxa"/>
            <w:tcBorders>
              <w:top w:val="single" w:color="000000" w:sz="4" w:space="0"/>
              <w:left w:val="single" w:color="auto"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3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jc w:val="center"/>
        <w:rPr>
          <w:rFonts w:hint="default" w:ascii="宋体" w:hAnsi="宋体" w:eastAsia="宋体" w:cs="宋体"/>
          <w:b/>
          <w:bCs/>
          <w:sz w:val="32"/>
          <w:szCs w:val="32"/>
          <w:lang w:val="en-US" w:eastAsia="zh-CN"/>
        </w:rPr>
      </w:pPr>
    </w:p>
    <w:p>
      <w:pPr>
        <w:jc w:val="center"/>
        <w:rPr>
          <w:rFonts w:hint="default" w:ascii="宋体" w:hAnsi="宋体" w:eastAsia="宋体" w:cs="宋体"/>
          <w:b/>
          <w:bCs/>
          <w:sz w:val="32"/>
          <w:szCs w:val="32"/>
          <w:lang w:val="en-US" w:eastAsia="zh-CN"/>
        </w:rPr>
      </w:pPr>
    </w:p>
    <w:p>
      <w:pPr>
        <w:jc w:val="center"/>
        <w:rPr>
          <w:rFonts w:hint="default" w:ascii="宋体" w:hAnsi="宋体" w:eastAsia="宋体" w:cs="宋体"/>
          <w:b/>
          <w:bCs/>
          <w:sz w:val="32"/>
          <w:szCs w:val="32"/>
          <w:lang w:val="en-US" w:eastAsia="zh-CN"/>
        </w:rPr>
      </w:pPr>
    </w:p>
    <w:p>
      <w:pPr>
        <w:jc w:val="center"/>
        <w:rPr>
          <w:rFonts w:hint="default" w:ascii="宋体" w:hAnsi="宋体" w:eastAsia="宋体" w:cs="宋体"/>
          <w:b/>
          <w:bCs/>
          <w:sz w:val="32"/>
          <w:szCs w:val="32"/>
          <w:lang w:val="en-US" w:eastAsia="zh-CN"/>
        </w:rPr>
      </w:pPr>
    </w:p>
    <w:p>
      <w:pPr>
        <w:jc w:val="center"/>
        <w:rPr>
          <w:rFonts w:hint="default" w:ascii="宋体" w:hAnsi="宋体" w:eastAsia="宋体" w:cs="宋体"/>
          <w:b/>
          <w:bCs/>
          <w:sz w:val="32"/>
          <w:szCs w:val="32"/>
          <w:lang w:val="en-US" w:eastAsia="zh-CN"/>
        </w:rPr>
      </w:pPr>
    </w:p>
    <w:p>
      <w:pPr>
        <w:jc w:val="center"/>
        <w:rPr>
          <w:rFonts w:hint="default" w:ascii="宋体" w:hAnsi="宋体" w:eastAsia="宋体" w:cs="宋体"/>
          <w:b/>
          <w:bCs/>
          <w:sz w:val="32"/>
          <w:szCs w:val="32"/>
          <w:lang w:val="en-US" w:eastAsia="zh-CN"/>
        </w:rPr>
      </w:pPr>
    </w:p>
    <w:p>
      <w:pPr>
        <w:rPr>
          <w:rFonts w:hint="eastAsia"/>
          <w:lang w:val="en-US" w:eastAsia="zh-CN"/>
        </w:rPr>
      </w:pPr>
    </w:p>
    <w:p>
      <w:pPr>
        <w:rPr>
          <w:rFonts w:hint="default"/>
          <w:b/>
          <w:bCs/>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jc w:val="both"/>
        <w:rPr>
          <w:rFonts w:hint="eastAsia" w:ascii="宋体" w:hAnsi="宋体" w:eastAsia="宋体" w:cs="宋体"/>
          <w:b/>
          <w:bCs/>
          <w:sz w:val="32"/>
          <w:szCs w:val="32"/>
          <w:lang w:val="en-US" w:eastAsia="zh-CN"/>
        </w:rPr>
      </w:pPr>
    </w:p>
    <w:p>
      <w:p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附件4：</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其 他 要 求</w:t>
      </w:r>
    </w:p>
    <w:tbl>
      <w:tblPr>
        <w:tblStyle w:val="5"/>
        <w:tblpPr w:leftFromText="180" w:rightFromText="180" w:vertAnchor="text" w:horzAnchor="page" w:tblpX="1421" w:tblpY="2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3285" w:type="dxa"/>
            <w:vAlign w:val="center"/>
          </w:tcPr>
          <w:p>
            <w:pPr>
              <w:tabs>
                <w:tab w:val="left" w:pos="1529"/>
              </w:tabs>
              <w:bidi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化要求：该项目所运行的基础环境需完全支持国产软、硬件，包括但不限于：服务器、办公电脑、国产操作系统、支持国产数据库等，后期免费进行国产化适配改造，并能够按照院方需求将产品迁移至国产化硬件、操作系统及数据库中，费用包含在项目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3285" w:type="dxa"/>
            <w:vAlign w:val="center"/>
          </w:tcPr>
          <w:p>
            <w:pPr>
              <w:tabs>
                <w:tab w:val="left" w:pos="1529"/>
              </w:tabs>
              <w:bidi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正版化要求：该项目运行所必须的各种软件须满足包括但不限于以下要求：提供支撑该项目运行的服务器操作系统、数据库、中间件、容器和浏览器等，所提供的软件必须为正版化软件，中标商负责软件的授权、升级、更换、调试、安装等，费用包含在项目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3285" w:type="dxa"/>
            <w:vAlign w:val="center"/>
          </w:tcPr>
          <w:p>
            <w:pPr>
              <w:tabs>
                <w:tab w:val="left" w:pos="1529"/>
              </w:tabs>
              <w:bidi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安全等级保护测评：按照网络安全国家标准要求进行安全建设，软件须满足三级等保评相关要求，须接受医院自行或聘请的第三方安全等保测评，对测评中出现的软硬件安全漏洞须及时修复，费用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285" w:type="dxa"/>
            <w:vAlign w:val="center"/>
          </w:tcPr>
          <w:p>
            <w:pPr>
              <w:tabs>
                <w:tab w:val="left" w:pos="1529"/>
              </w:tabs>
              <w:bidi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用密码应用安全性评估改造：按照商用密码国家标准要求进行安全建设，加强商用密码应用安全性评估，所提供的密码类产品能够应用于商用密码应用安全性评估改造，并免费做好该项目涉及的密码应用对接及密评相关工作，须满足医院自行或第三方密评要求，对测评中出现的软硬件安全漏洞须及时修复、改造，费用包含在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3285" w:type="dxa"/>
            <w:vAlign w:val="center"/>
          </w:tcPr>
          <w:p>
            <w:pPr>
              <w:tabs>
                <w:tab w:val="left" w:pos="1529"/>
              </w:tabs>
              <w:bidi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云资源：系统建设硬件支撑环境建设费用，请按系统建设评估云资源、硬件支撑，包含但不限于云资源、显示屏的安装、部署，可另附明细表。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3285" w:type="dxa"/>
            <w:vAlign w:val="center"/>
          </w:tcPr>
          <w:p>
            <w:pPr>
              <w:tabs>
                <w:tab w:val="left" w:pos="1529"/>
              </w:tabs>
              <w:bidi w:val="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建设与院内相关系统集成建设费用：目前，我院正在建设医院信息集成平台，若系统建设需要与集成平台、HIS等相关业务系统对接，需要评估相关集成费用。要求具有数据互联互通能力，能够按采购人提供的接口标准通过信息集成平台或直接与医院现有信息系统（包含但不限于HIS、LIS、PACS、EMR、数字证书、单点登陆等）进行数据交换，实现互联互通，项目报价要包含上述第三方信息系统相关的接口改造费用（即：双边的所需接口改造费用）。可另附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3285" w:type="dxa"/>
            <w:vAlign w:val="center"/>
          </w:tcPr>
          <w:p>
            <w:pPr>
              <w:tabs>
                <w:tab w:val="left" w:pos="1529"/>
              </w:tabs>
              <w:bidi w:val="0"/>
              <w:jc w:val="left"/>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报价为含税报价，报价包括：运至合同指定地点的技术服务费（含设计费、培训费、安装调试费、保修费、包含但不限于HIS、LIS、PACS、EMR、集成平台等第三方信息系统的接口改造费用）、基础运行支撑平台及完成采购内容所需的其他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3285" w:type="dxa"/>
            <w:vAlign w:val="center"/>
          </w:tcPr>
          <w:p>
            <w:pPr>
              <w:tabs>
                <w:tab w:val="left" w:pos="1529"/>
              </w:tabs>
              <w:bidi w:val="0"/>
              <w:jc w:val="left"/>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本次项目中涉及的软件应用和服务自验收合格之日起至少提供三年免费质保服务，服务费用包含在投标报价中。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3285" w:type="dxa"/>
            <w:vAlign w:val="center"/>
          </w:tcPr>
          <w:p>
            <w:pPr>
              <w:tabs>
                <w:tab w:val="left" w:pos="1529"/>
              </w:tabs>
              <w:bidi w:val="0"/>
              <w:jc w:val="left"/>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投标人需对本项目维保期满后每年维保服务费用进行报价，且每年运维服务费的报价不高于投标报价的比例。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174" w:type="dxa"/>
            <w:gridSpan w:val="2"/>
            <w:vAlign w:val="center"/>
          </w:tcPr>
          <w:p>
            <w:pPr>
              <w:tabs>
                <w:tab w:val="left" w:pos="1529"/>
              </w:tabs>
              <w:bidi w:val="0"/>
              <w:jc w:val="left"/>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说明：原则上所列出的需求须完全响应，项目清单中软件与硬件及其配件项目内容与数量可根据软件的功能需要进行增加。</w:t>
            </w:r>
          </w:p>
        </w:tc>
      </w:tr>
    </w:tbl>
    <w:p>
      <w:pPr>
        <w:tabs>
          <w:tab w:val="left" w:pos="1529"/>
        </w:tabs>
        <w:bidi w:val="0"/>
        <w:jc w:val="left"/>
        <w:rPr>
          <w:rFonts w:hint="default"/>
          <w:vertAlign w:val="baseline"/>
          <w:lang w:val="en-US" w:eastAsia="zh-CN"/>
        </w:rPr>
      </w:pPr>
      <w:r>
        <w:rPr>
          <w:rFonts w:hint="eastAsia"/>
          <w:lang w:val="en-US" w:eastAsia="zh-CN"/>
        </w:rPr>
        <w:tab/>
      </w:r>
    </w:p>
    <w:p>
      <w:pPr>
        <w:tabs>
          <w:tab w:val="left" w:pos="1529"/>
        </w:tabs>
        <w:bidi w:val="0"/>
        <w:jc w:val="left"/>
        <w:rPr>
          <w:rFonts w:hint="default"/>
          <w:lang w:val="en-US" w:eastAsia="zh-CN"/>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BDC5155-87DD-4364-961F-ABBFCED0957D}"/>
  </w:font>
  <w:font w:name="仿宋">
    <w:panose1 w:val="02010609060101010101"/>
    <w:charset w:val="86"/>
    <w:family w:val="auto"/>
    <w:pitch w:val="default"/>
    <w:sig w:usb0="800002BF" w:usb1="38CF7CFA" w:usb2="00000016" w:usb3="00000000" w:csb0="00040001" w:csb1="00000000"/>
    <w:embedRegular r:id="rId2" w:fontKey="{BFBEFFB6-4436-4A75-9F43-B1603CAEF69F}"/>
  </w:font>
  <w:font w:name="方正小标宋简体">
    <w:panose1 w:val="03000509000000000000"/>
    <w:charset w:val="86"/>
    <w:family w:val="auto"/>
    <w:pitch w:val="default"/>
    <w:sig w:usb0="00000001" w:usb1="080E0000" w:usb2="00000000" w:usb3="00000000" w:csb0="00040000" w:csb1="00000000"/>
    <w:embedRegular r:id="rId3" w:fontKey="{3671BCC0-0774-455F-9B79-89581740F90A}"/>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NDVhMGZiMGQwM2VjZmI5OGRjZTk2YmE3NjhkZTMifQ=="/>
  </w:docVars>
  <w:rsids>
    <w:rsidRoot w:val="00000000"/>
    <w:rsid w:val="0B165A86"/>
    <w:rsid w:val="0E882129"/>
    <w:rsid w:val="111A15BF"/>
    <w:rsid w:val="17AF58DA"/>
    <w:rsid w:val="1844295B"/>
    <w:rsid w:val="193E0799"/>
    <w:rsid w:val="1DF3727C"/>
    <w:rsid w:val="21A26484"/>
    <w:rsid w:val="262F0155"/>
    <w:rsid w:val="26E4675D"/>
    <w:rsid w:val="2A5801C4"/>
    <w:rsid w:val="2B965E86"/>
    <w:rsid w:val="2D755A60"/>
    <w:rsid w:val="2EC95404"/>
    <w:rsid w:val="38786B55"/>
    <w:rsid w:val="4B927B98"/>
    <w:rsid w:val="5D4748F4"/>
    <w:rsid w:val="5D7C6FEB"/>
    <w:rsid w:val="6025468C"/>
    <w:rsid w:val="65167D25"/>
    <w:rsid w:val="6B760797"/>
    <w:rsid w:val="6BF65151"/>
    <w:rsid w:val="731A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81"/>
    <w:basedOn w:val="6"/>
    <w:qFormat/>
    <w:uiPriority w:val="0"/>
    <w:rPr>
      <w:rFonts w:hint="eastAsia" w:ascii="仿宋" w:hAnsi="仿宋" w:eastAsia="仿宋" w:cs="仿宋"/>
      <w:color w:val="FF0000"/>
      <w:sz w:val="24"/>
      <w:szCs w:val="24"/>
      <w:u w:val="none"/>
    </w:rPr>
  </w:style>
  <w:style w:type="character" w:customStyle="1" w:styleId="8">
    <w:name w:val="font61"/>
    <w:basedOn w:val="6"/>
    <w:qFormat/>
    <w:uiPriority w:val="0"/>
    <w:rPr>
      <w:rFonts w:hint="eastAsia" w:ascii="仿宋" w:hAnsi="仿宋" w:eastAsia="仿宋" w:cs="仿宋"/>
      <w:color w:val="000000"/>
      <w:sz w:val="24"/>
      <w:szCs w:val="24"/>
      <w:u w:val="none"/>
    </w:rPr>
  </w:style>
  <w:style w:type="character" w:customStyle="1" w:styleId="9">
    <w:name w:val="font41"/>
    <w:basedOn w:val="6"/>
    <w:qFormat/>
    <w:uiPriority w:val="0"/>
    <w:rPr>
      <w:rFonts w:hint="eastAsia" w:ascii="仿宋" w:hAnsi="仿宋" w:eastAsia="仿宋" w:cs="仿宋"/>
      <w:color w:val="000000"/>
      <w:sz w:val="24"/>
      <w:szCs w:val="24"/>
      <w:u w:val="none"/>
    </w:rPr>
  </w:style>
  <w:style w:type="character" w:customStyle="1" w:styleId="10">
    <w:name w:val="font71"/>
    <w:basedOn w:val="6"/>
    <w:qFormat/>
    <w:uiPriority w:val="0"/>
    <w:rPr>
      <w:rFonts w:hint="eastAsia" w:ascii="仿宋" w:hAnsi="仿宋" w:eastAsia="仿宋" w:cs="仿宋"/>
      <w:color w:val="0070C0"/>
      <w:sz w:val="24"/>
      <w:szCs w:val="24"/>
      <w:u w:val="none"/>
    </w:rPr>
  </w:style>
  <w:style w:type="character" w:customStyle="1" w:styleId="11">
    <w:name w:val="font51"/>
    <w:basedOn w:val="6"/>
    <w:qFormat/>
    <w:uiPriority w:val="0"/>
    <w:rPr>
      <w:rFonts w:hint="eastAsia" w:ascii="宋体" w:hAnsi="宋体" w:eastAsia="宋体" w:cs="宋体"/>
      <w:color w:val="000000"/>
      <w:sz w:val="24"/>
      <w:szCs w:val="24"/>
      <w:u w:val="none"/>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font1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10939</Words>
  <Characters>11393</Characters>
  <Lines>0</Lines>
  <Paragraphs>0</Paragraphs>
  <TotalTime>17</TotalTime>
  <ScaleCrop>false</ScaleCrop>
  <LinksUpToDate>false</LinksUpToDate>
  <CharactersWithSpaces>11446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Administrator</cp:lastModifiedBy>
  <dcterms:modified xsi:type="dcterms:W3CDTF">2023-08-04T08:59:43Z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2C46077EE821425B92D6F88AE7753242_13</vt:lpwstr>
  </property>
</Properties>
</file>