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lang w:val="en-US" w:eastAsia="zh-CN"/>
        </w:rPr>
      </w:pPr>
      <w:r>
        <w:rPr>
          <w:rFonts w:hint="eastAsia"/>
          <w:lang w:eastAsia="zh-CN"/>
        </w:rPr>
        <w:t>附件</w:t>
      </w:r>
      <w:r>
        <w:rPr>
          <w:rFonts w:hint="eastAsia"/>
          <w:lang w:val="en-US" w:eastAsia="zh-CN"/>
        </w:rPr>
        <w:t>1：</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2010"/>
        <w:gridCol w:w="2010"/>
        <w:gridCol w:w="2010"/>
        <w:gridCol w:w="1352"/>
        <w:gridCol w:w="1647"/>
        <w:gridCol w:w="1536"/>
        <w:gridCol w:w="1528"/>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0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70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70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产品公司名称</w:t>
            </w:r>
          </w:p>
        </w:tc>
        <w:tc>
          <w:tcPr>
            <w:tcW w:w="47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（包干价)万元</w:t>
            </w:r>
          </w:p>
        </w:tc>
        <w:tc>
          <w:tcPr>
            <w:tcW w:w="58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54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53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联系邮箱</w:t>
            </w:r>
          </w:p>
        </w:tc>
        <w:tc>
          <w:tcPr>
            <w:tcW w:w="419"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default"/>
          <w:lang w:val="en-US"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2：</w:t>
      </w:r>
    </w:p>
    <w:tbl>
      <w:tblPr>
        <w:tblStyle w:val="2"/>
        <w:tblW w:w="9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981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供应商资质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9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一、参加调研的供应商应具备下列资格条件：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0" w:hRule="atLeast"/>
          <w:jc w:val="center"/>
        </w:trPr>
        <w:tc>
          <w:tcPr>
            <w:tcW w:w="9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1.具有独立承担民事责任的能力。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2.具有良好的商业信誉和健全的财务会计制度。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3.具有履行合同所必须的设备和专业技术能力。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4.有依法缴纳税收（国税或地税）和社会保障资金的良好记录。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5.参加本次政府采购活动前三年内，在经营活动中没有重大违法记录。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6.法律、行政法规规定的其他条件。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7.根据采购项目提出的特殊条件：无。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若采购产品为包含医疗器械的，投标人须符合《医疗器械监督管理条例》要求并提供投标人经营该产品的经营许可/经营备案证明材料；投标产品须符合《医疗器械注册管理办法》要求并提供产品的注册/备案证明材料；</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投标人非投标产品（若是进口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p>
        </w:tc>
      </w:tr>
    </w:tbl>
    <w:p>
      <w:pPr>
        <w:rPr>
          <w:rFonts w:hint="eastAsia"/>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eastAsia="zh-CN"/>
        </w:rPr>
        <w:t>附件</w:t>
      </w:r>
      <w:r>
        <w:rPr>
          <w:rFonts w:hint="eastAsia"/>
          <w:lang w:val="en-US" w:eastAsia="zh-CN"/>
        </w:rPr>
        <w:t>3：</w:t>
      </w:r>
    </w:p>
    <w:tbl>
      <w:tblPr>
        <w:tblStyle w:val="2"/>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1933"/>
        <w:gridCol w:w="1808"/>
        <w:gridCol w:w="1017"/>
        <w:gridCol w:w="1948"/>
        <w:gridCol w:w="836"/>
        <w:gridCol w:w="1050"/>
        <w:gridCol w:w="1219"/>
        <w:gridCol w:w="2929"/>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274"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5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60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34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lang w:val="en-US" w:eastAsia="zh-CN" w:bidi="ar"/>
              </w:rPr>
            </w:pPr>
            <w:r>
              <w:rPr>
                <w:rStyle w:val="5"/>
                <w:lang w:val="en-US" w:eastAsia="zh-CN" w:bidi="ar"/>
              </w:rPr>
              <w:t>报价</w:t>
            </w:r>
          </w:p>
          <w:p>
            <w:pPr>
              <w:keepNext w:val="0"/>
              <w:keepLines w:val="0"/>
              <w:widowControl/>
              <w:suppressLineNumbers w:val="0"/>
              <w:jc w:val="center"/>
              <w:textAlignment w:val="center"/>
              <w:rPr>
                <w:rStyle w:val="6"/>
                <w:lang w:val="en-US" w:eastAsia="zh-CN" w:bidi="ar"/>
              </w:rPr>
            </w:pPr>
            <w:r>
              <w:rPr>
                <w:rStyle w:val="6"/>
                <w:lang w:val="en-US" w:eastAsia="zh-CN" w:bidi="ar"/>
              </w:rPr>
              <w:t>（包干价)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lang w:val="en-US" w:eastAsia="zh-CN" w:bidi="ar"/>
              </w:rPr>
              <w:t>万元</w:t>
            </w:r>
          </w:p>
        </w:tc>
        <w:tc>
          <w:tcPr>
            <w:tcW w:w="65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该产品在国内三甲医院用户案例及价格及评级情况</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（省内优先列举3-5个）</w:t>
            </w:r>
          </w:p>
        </w:tc>
        <w:tc>
          <w:tcPr>
            <w:tcW w:w="28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实施周期</w:t>
            </w:r>
          </w:p>
        </w:tc>
        <w:tc>
          <w:tcPr>
            <w:tcW w:w="35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lang w:val="en-US" w:eastAsia="zh-CN" w:bidi="ar"/>
              </w:rPr>
            </w:pPr>
            <w:r>
              <w:rPr>
                <w:rStyle w:val="5"/>
                <w:lang w:val="en-US" w:eastAsia="zh-CN" w:bidi="ar"/>
              </w:rPr>
              <w:t>免费</w:t>
            </w:r>
          </w:p>
          <w:p>
            <w:pPr>
              <w:keepNext w:val="0"/>
              <w:keepLines w:val="0"/>
              <w:widowControl/>
              <w:suppressLineNumbers w:val="0"/>
              <w:jc w:val="center"/>
              <w:textAlignment w:val="center"/>
              <w:rPr>
                <w:rStyle w:val="5"/>
                <w:lang w:val="en-US" w:eastAsia="zh-CN" w:bidi="ar"/>
              </w:rPr>
            </w:pPr>
            <w:r>
              <w:rPr>
                <w:rStyle w:val="5"/>
                <w:lang w:val="en-US" w:eastAsia="zh-CN" w:bidi="ar"/>
              </w:rPr>
              <w:t>质保期</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6"/>
                <w:lang w:val="en-US" w:eastAsia="zh-CN" w:bidi="ar"/>
              </w:rPr>
              <w:t>（3年及以上）</w:t>
            </w:r>
          </w:p>
        </w:tc>
        <w:tc>
          <w:tcPr>
            <w:tcW w:w="4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后期</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维护费</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w:t>
            </w:r>
          </w:p>
        </w:tc>
        <w:tc>
          <w:tcPr>
            <w:tcW w:w="98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优势特色</w:t>
            </w:r>
          </w:p>
        </w:tc>
        <w:tc>
          <w:tcPr>
            <w:tcW w:w="438"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532"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472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5000" w:type="pct"/>
            <w:gridSpan w:val="10"/>
            <w:tcBorders>
              <w:top w:val="single" w:color="000000"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1.《关于XXXXXXXXX指导意见》：XXXXXXXXXXXXXXXXXXX（填写样例）</w:t>
            </w:r>
          </w:p>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2.《关于XXXXXXXXX指导意见》：XXXXXXXXXXXXXXXXXXX（填写样例）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472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建设必要性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000" w:type="pct"/>
            <w:gridSpan w:val="10"/>
            <w:tcBorders>
              <w:top w:val="single" w:color="000000" w:sz="4"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472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建设目标、效益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000" w:type="pct"/>
            <w:gridSpan w:val="10"/>
            <w:tcBorders>
              <w:top w:val="single" w:color="000000" w:sz="4"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27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472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lang w:val="en-US" w:eastAsia="zh-CN" w:bidi="ar"/>
              </w:rPr>
            </w:pPr>
            <w:r>
              <w:rPr>
                <w:rStyle w:val="7"/>
                <w:lang w:val="en-US" w:eastAsia="zh-CN" w:bidi="ar"/>
              </w:rPr>
              <w:t>评级对标情况</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（涉及电子病历系统应用水平分级评价、国家医疗健康信息互联互通标准化成熟度测评、医院智慧服务分级评估、医院智慧管理分级评估、四川省智慧医院评价等行业标准对标情况，内容较多可另附页）</w:t>
            </w:r>
          </w:p>
        </w:tc>
      </w:tr>
    </w:tbl>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附件4：</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数字认证项目清单</w:t>
      </w:r>
    </w:p>
    <w:tbl>
      <w:tblPr>
        <w:tblStyle w:val="2"/>
        <w:tblpPr w:leftFromText="180" w:rightFromText="180" w:vertAnchor="text" w:horzAnchor="page" w:tblpX="2196" w:tblpY="611"/>
        <w:tblOverlap w:val="never"/>
        <w:tblW w:w="13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1969"/>
        <w:gridCol w:w="7188"/>
        <w:gridCol w:w="1050"/>
        <w:gridCol w:w="311"/>
        <w:gridCol w:w="72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主要功能描述</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数量</w:t>
            </w: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单位</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报价</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11" w:type="dxa"/>
            <w:tcBorders>
              <w:top w:val="single" w:color="000000" w:sz="4" w:space="0"/>
              <w:left w:val="single" w:color="auto"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jc w:val="both"/>
        <w:rPr>
          <w:rFonts w:hint="eastAsia" w:ascii="宋体" w:hAnsi="宋体" w:eastAsia="宋体" w:cs="宋体"/>
          <w:b/>
          <w:bCs/>
          <w:sz w:val="32"/>
          <w:szCs w:val="32"/>
          <w:lang w:val="en-US" w:eastAsia="zh-CN"/>
        </w:rPr>
      </w:pPr>
    </w:p>
    <w:p>
      <w:pPr>
        <w:jc w:val="both"/>
        <w:rPr>
          <w:rFonts w:hint="eastAsia" w:ascii="宋体" w:hAnsi="宋体" w:eastAsia="宋体" w:cs="宋体"/>
          <w:b/>
          <w:bCs/>
          <w:sz w:val="32"/>
          <w:szCs w:val="32"/>
          <w:lang w:val="en-US" w:eastAsia="zh-CN"/>
        </w:rPr>
      </w:pPr>
    </w:p>
    <w:p>
      <w:pPr>
        <w:jc w:val="both"/>
        <w:rPr>
          <w:rFonts w:hint="eastAsia" w:ascii="宋体" w:hAnsi="宋体" w:eastAsia="宋体" w:cs="宋体"/>
          <w:b/>
          <w:bCs/>
          <w:sz w:val="32"/>
          <w:szCs w:val="32"/>
          <w:lang w:val="en-US" w:eastAsia="zh-CN"/>
        </w:rPr>
      </w:pPr>
    </w:p>
    <w:p>
      <w:pPr>
        <w:jc w:val="both"/>
        <w:rPr>
          <w:rFonts w:hint="eastAsia" w:ascii="宋体" w:hAnsi="宋体" w:eastAsia="宋体" w:cs="宋体"/>
          <w:b/>
          <w:bCs/>
          <w:sz w:val="32"/>
          <w:szCs w:val="32"/>
          <w:lang w:val="en-US" w:eastAsia="zh-CN"/>
        </w:rPr>
      </w:pPr>
    </w:p>
    <w:p>
      <w:pPr>
        <w:jc w:val="both"/>
        <w:rPr>
          <w:rFonts w:hint="default" w:ascii="宋体" w:hAnsi="宋体" w:eastAsia="宋体" w:cs="宋体"/>
          <w:b/>
          <w:bCs/>
          <w:sz w:val="32"/>
          <w:szCs w:val="32"/>
          <w:lang w:val="en-US" w:eastAsia="zh-CN"/>
        </w:rPr>
      </w:pPr>
    </w:p>
    <w:p>
      <w:pPr>
        <w:jc w:val="both"/>
        <w:rPr>
          <w:rFonts w:hint="default" w:ascii="宋体" w:hAnsi="宋体" w:eastAsia="宋体" w:cs="宋体"/>
          <w:b/>
          <w:bCs/>
          <w:sz w:val="32"/>
          <w:szCs w:val="32"/>
          <w:lang w:val="en-US" w:eastAsia="zh-CN"/>
        </w:rPr>
      </w:pPr>
    </w:p>
    <w:p>
      <w:pPr>
        <w:jc w:val="both"/>
        <w:rPr>
          <w:rFonts w:hint="default" w:ascii="宋体" w:hAnsi="宋体" w:eastAsia="宋体" w:cs="宋体"/>
          <w:b/>
          <w:bCs/>
          <w:sz w:val="32"/>
          <w:szCs w:val="32"/>
          <w:lang w:val="en-US" w:eastAsia="zh-CN"/>
        </w:rPr>
      </w:pPr>
    </w:p>
    <w:p>
      <w:pPr>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附件5：</w:t>
      </w:r>
      <w:bookmarkStart w:id="0" w:name="_GoBack"/>
      <w:bookmarkEnd w:id="0"/>
      <w:r>
        <w:rPr>
          <w:rFonts w:hint="eastAsia" w:ascii="宋体" w:hAnsi="宋体" w:eastAsia="宋体" w:cs="宋体"/>
          <w:b/>
          <w:bCs/>
          <w:sz w:val="32"/>
          <w:szCs w:val="32"/>
          <w:lang w:val="en-US" w:eastAsia="zh-CN"/>
        </w:rPr>
        <w:t>其他要求</w:t>
      </w:r>
    </w:p>
    <w:tbl>
      <w:tblPr>
        <w:tblStyle w:val="3"/>
        <w:tblpPr w:leftFromText="180" w:rightFromText="180" w:vertAnchor="text" w:horzAnchor="page" w:tblpX="1421"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172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72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国产化要求：该项目所运行的基础环境需完全支持国产软、硬件，包括但不限于：服务器、办公电脑、国产操作系统、支持国产数据库等，后期免费进行国产化适配改造，并能够按照院方需求将产品迁移至国产化硬件、操作系统及数据库中，费用包含在项目报价中。</w:t>
            </w:r>
          </w:p>
        </w:tc>
        <w:tc>
          <w:tcPr>
            <w:tcW w:w="887" w:type="dxa"/>
          </w:tcPr>
          <w:p>
            <w:pPr>
              <w:tabs>
                <w:tab w:val="left" w:pos="152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72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正版化要求：该项目运行所必须的各种软件须满足包括但不限于以下要求：提供支撑该项目运行的服务器操作系统、数据库、中间件、容器和浏览器等，所提供的软件必须为正版化软件，中标商负责软件的授权、升级、更换、调试、安装等，费用包含在项目报价中。</w:t>
            </w:r>
          </w:p>
        </w:tc>
        <w:tc>
          <w:tcPr>
            <w:tcW w:w="887" w:type="dxa"/>
            <w:vAlign w:val="center"/>
          </w:tcPr>
          <w:p>
            <w:pPr>
              <w:tabs>
                <w:tab w:val="left" w:pos="152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172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络安全等级保护测评：按照网络安全国家标准要求进行安全建设，软件须满足三级等保评相关要求，须接受医院自行或聘请的第三方安全等保测评，对测评中出现的软硬件安全漏洞须及时修复，费用包含在报价中。</w:t>
            </w:r>
          </w:p>
        </w:tc>
        <w:tc>
          <w:tcPr>
            <w:tcW w:w="887" w:type="dxa"/>
            <w:vAlign w:val="center"/>
          </w:tcPr>
          <w:p>
            <w:pPr>
              <w:tabs>
                <w:tab w:val="left" w:pos="152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172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商用密码应用安全性评估改造：按照商用密码国家标准要求进行安全建设，加强商用密码应用安全性评估，所提供的密码类产品能够应用于商用密码应用安全性评估改造，并免费做好该项目涉及的密码应用对接及密评相关工作，须满足医院自行或第三方密评要求，对测评中出现的软硬件安全漏洞须及时修复、改造，费用包含在报价中。</w:t>
            </w:r>
          </w:p>
        </w:tc>
        <w:tc>
          <w:tcPr>
            <w:tcW w:w="887" w:type="dxa"/>
            <w:vAlign w:val="center"/>
          </w:tcPr>
          <w:p>
            <w:pPr>
              <w:tabs>
                <w:tab w:val="left" w:pos="152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172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云资源：系统建设硬件支撑环境建设费用，请按系统建设评估云资源、硬件支撑，包含但不限于云资源、显示屏的安装、部署，可另附明细表。</w:t>
            </w:r>
          </w:p>
        </w:tc>
        <w:tc>
          <w:tcPr>
            <w:tcW w:w="887" w:type="dxa"/>
            <w:vAlign w:val="center"/>
          </w:tcPr>
          <w:p>
            <w:pPr>
              <w:tabs>
                <w:tab w:val="left" w:pos="152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172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系统建设与院内相关系统集成建设费用，目前，我院正在建设医院信息集成平台，若系统建设需要与集成平台、HIS等相关业务系统对接，需要评估相关集成费用。要求具有数据互联互通能力，能够按采购人提供的接口标准通过信息集成平台或直接与医院现有信息系统（包含但不限于HIS、LIS、PACS、EMR、数字证书、单点登陆等）进行数据交换，实现互联互通，项目报价要包含上述第三方信息系统相关的接口改造费用（即：双边的所需接口改造费用）。可另附明细表。</w:t>
            </w:r>
          </w:p>
        </w:tc>
        <w:tc>
          <w:tcPr>
            <w:tcW w:w="887" w:type="dxa"/>
            <w:vAlign w:val="center"/>
          </w:tcPr>
          <w:p>
            <w:pPr>
              <w:tabs>
                <w:tab w:val="left" w:pos="152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172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报价为含税报价，报价包括：运至合同指定地点的技术服务费（含设计费、培训费、安装调试费、保修费、包含但不限于HIS、LIS、PACS、EMR、集成平台等第三方信息系统的接口改造费用）、基础运行支撑平台及完成采购内容所需的其他一切费用。</w:t>
            </w:r>
          </w:p>
        </w:tc>
        <w:tc>
          <w:tcPr>
            <w:tcW w:w="887" w:type="dxa"/>
            <w:vAlign w:val="center"/>
          </w:tcPr>
          <w:p>
            <w:pPr>
              <w:tabs>
                <w:tab w:val="left" w:pos="152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172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本次项目中涉及的软件应用和服务自验收合格之日起至少提供三年免费质保服务，服务费用包含在投标报价中。</w:t>
            </w:r>
          </w:p>
        </w:tc>
        <w:tc>
          <w:tcPr>
            <w:tcW w:w="887" w:type="dxa"/>
            <w:vAlign w:val="center"/>
          </w:tcPr>
          <w:p>
            <w:pPr>
              <w:tabs>
                <w:tab w:val="left" w:pos="152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172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投标人需对本项目维保期满后每年维保服务费用进行报价，且每年运维服务费的报价不高于投标报价的比例。</w:t>
            </w:r>
          </w:p>
        </w:tc>
        <w:tc>
          <w:tcPr>
            <w:tcW w:w="887" w:type="dxa"/>
            <w:vAlign w:val="center"/>
          </w:tcPr>
          <w:p>
            <w:pPr>
              <w:tabs>
                <w:tab w:val="left" w:pos="152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287" w:type="dxa"/>
            <w:gridSpan w:val="2"/>
            <w:vAlign w:val="center"/>
          </w:tcPr>
          <w:p>
            <w:pPr>
              <w:tabs>
                <w:tab w:val="left" w:pos="1529"/>
              </w:tabs>
              <w:bidi w:val="0"/>
              <w:jc w:val="left"/>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说明：原则上所列出的需求须完全响应，项目清单中软件与硬件及其配件项目内容与数量可根据软件的功能需要进行增加。</w:t>
            </w:r>
          </w:p>
        </w:tc>
        <w:tc>
          <w:tcPr>
            <w:tcW w:w="887" w:type="dxa"/>
            <w:vAlign w:val="center"/>
          </w:tcPr>
          <w:p>
            <w:pPr>
              <w:tabs>
                <w:tab w:val="left" w:pos="1529"/>
              </w:tabs>
              <w:bidi w:val="0"/>
              <w:jc w:val="left"/>
              <w:rPr>
                <w:rFonts w:hint="default"/>
                <w:vertAlign w:val="baseline"/>
                <w:lang w:val="en-US" w:eastAsia="zh-CN"/>
              </w:rPr>
            </w:pPr>
          </w:p>
        </w:tc>
      </w:tr>
    </w:tbl>
    <w:p>
      <w:pPr>
        <w:tabs>
          <w:tab w:val="left" w:pos="1529"/>
        </w:tabs>
        <w:bidi w:val="0"/>
        <w:jc w:val="left"/>
        <w:rPr>
          <w:rFonts w:hint="default"/>
          <w:vertAlign w:val="baseline"/>
          <w:lang w:val="en-US" w:eastAsia="zh-CN"/>
        </w:rPr>
      </w:pPr>
      <w:r>
        <w:rPr>
          <w:rFonts w:hint="eastAsia"/>
          <w:lang w:val="en-US" w:eastAsia="zh-CN"/>
        </w:rPr>
        <w:tab/>
      </w:r>
    </w:p>
    <w:p>
      <w:pPr>
        <w:tabs>
          <w:tab w:val="left" w:pos="1529"/>
        </w:tabs>
        <w:bidi w:val="0"/>
        <w:jc w:val="left"/>
        <w:rPr>
          <w:rFonts w:hint="default"/>
          <w:lang w:val="en-US" w:eastAsia="zh-CN"/>
        </w:rPr>
      </w:pPr>
    </w:p>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73C67"/>
    <w:rsid w:val="46D7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51"/>
    <w:basedOn w:val="4"/>
    <w:qFormat/>
    <w:uiPriority w:val="0"/>
    <w:rPr>
      <w:rFonts w:hint="eastAsia" w:ascii="宋体" w:hAnsi="宋体" w:eastAsia="宋体" w:cs="宋体"/>
      <w:color w:val="000000"/>
      <w:sz w:val="24"/>
      <w:szCs w:val="24"/>
      <w:u w:val="none"/>
    </w:rPr>
  </w:style>
  <w:style w:type="character" w:customStyle="1" w:styleId="6">
    <w:name w:val="font2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2023-08-02T00:50:00Z</dcterms:created>
  <dc:creator>Administrator</dc:creator>
  <cp:lastModifiedBy>Administrator</cp:lastModifiedBy>
  <dcterms:modified xsi:type="dcterms:W3CDTF">2023-08-02T00:53:14Z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