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color w:val="666666"/>
          <w:sz w:val="21"/>
          <w:szCs w:val="21"/>
          <w:shd w:val="clear" w:color="auto" w:fill="FFFFFF"/>
        </w:rPr>
      </w:pPr>
    </w:p>
    <w:p>
      <w:pPr>
        <w:pStyle w:val="2"/>
        <w:widowControl/>
        <w:shd w:val="clear" w:color="auto" w:fill="FFFFFF"/>
        <w:spacing w:beforeAutospacing="0" w:afterAutospacing="0" w:line="23" w:lineRule="atLeast"/>
        <w:rPr>
          <w:rFonts w:hint="default" w:cs="宋体"/>
          <w:color w:val="666666"/>
          <w:sz w:val="21"/>
          <w:szCs w:val="21"/>
          <w:shd w:val="clear" w:color="auto" w:fill="FFFFFF"/>
        </w:rPr>
      </w:pPr>
      <w:r>
        <w:rPr>
          <w:rFonts w:cs="宋体"/>
          <w:color w:val="666666"/>
          <w:sz w:val="21"/>
          <w:szCs w:val="21"/>
          <w:shd w:val="clear" w:color="auto" w:fill="FFFFFF"/>
        </w:rPr>
        <w:t>附件：</w:t>
      </w:r>
    </w:p>
    <w:p>
      <w:pPr>
        <w:tabs>
          <w:tab w:val="center" w:pos="4324"/>
          <w:tab w:val="left" w:pos="7401"/>
        </w:tabs>
        <w:snapToGrid w:val="0"/>
        <w:spacing w:line="276" w:lineRule="auto"/>
        <w:ind w:firstLine="1446" w:firstLineChars="200"/>
        <w:jc w:val="center"/>
        <w:rPr>
          <w:rFonts w:hint="eastAsia" w:ascii="宋体" w:hAnsi="宋体" w:cs="宋体" w:eastAsiaTheme="minorEastAsia"/>
          <w:b/>
          <w:lang w:val="en-US" w:eastAsia="zh-CN"/>
        </w:rPr>
      </w:pPr>
      <w:r>
        <w:rPr>
          <w:rFonts w:hint="eastAsia" w:ascii="宋体" w:hAnsi="宋体" w:cs="宋体"/>
          <w:b/>
          <w:bCs/>
          <w:sz w:val="72"/>
          <w:szCs w:val="72"/>
        </w:rPr>
        <w:t>比选响应文件</w:t>
      </w:r>
      <w:r>
        <w:rPr>
          <w:rFonts w:hint="eastAsia" w:ascii="宋体" w:hAnsi="宋体" w:cs="宋体"/>
          <w:b/>
          <w:bCs/>
          <w:sz w:val="72"/>
          <w:szCs w:val="72"/>
          <w:lang w:val="en-US" w:eastAsia="zh-CN"/>
        </w:rPr>
        <w:t>封面</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snapToGrid w:val="0"/>
        <w:spacing w:line="480" w:lineRule="auto"/>
        <w:ind w:firstLine="643" w:firstLineChars="200"/>
        <w:rPr>
          <w:rFonts w:ascii="宋体" w:hAnsi="宋体" w:cs="宋体"/>
          <w:b/>
          <w:bCs/>
          <w:sz w:val="32"/>
          <w:szCs w:val="32"/>
        </w:rPr>
      </w:pPr>
    </w:p>
    <w:p>
      <w:pPr>
        <w:pStyle w:val="7"/>
        <w:widowControl/>
        <w:spacing w:beforeAutospacing="0" w:after="136" w:afterAutospacing="0" w:line="27" w:lineRule="atLeast"/>
        <w:ind w:firstLine="42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认质认价辅助工作采购项目</w:t>
      </w:r>
      <w:r>
        <w:rPr>
          <w:rFonts w:hint="eastAsia" w:ascii="宋体" w:hAnsi="宋体" w:cs="宋体"/>
          <w:b/>
          <w:bCs/>
          <w:sz w:val="32"/>
          <w:szCs w:val="32"/>
          <w:u w:val="single"/>
        </w:rPr>
        <w:t xml:space="preserve">   </w:t>
      </w:r>
    </w:p>
    <w:p>
      <w:pPr>
        <w:pStyle w:val="19"/>
        <w:rPr>
          <w:rFonts w:ascii="宋体" w:hAnsi="宋体" w:eastAsia="宋体" w:cs="宋体"/>
          <w:b/>
          <w:color w:val="auto"/>
        </w:rPr>
      </w:pPr>
    </w:p>
    <w:p>
      <w:pPr>
        <w:pStyle w:val="19"/>
        <w:rPr>
          <w:rFonts w:ascii="宋体" w:hAnsi="宋体" w:eastAsia="宋体" w:cs="宋体"/>
          <w:b/>
          <w:color w:val="auto"/>
        </w:rPr>
      </w:pPr>
    </w:p>
    <w:p>
      <w:pPr>
        <w:pStyle w:val="19"/>
        <w:rPr>
          <w:rFonts w:ascii="宋体" w:hAnsi="宋体" w:eastAsia="宋体" w:cs="宋体"/>
          <w:b/>
          <w:color w:val="auto"/>
        </w:rPr>
      </w:pPr>
    </w:p>
    <w:p>
      <w:pPr>
        <w:pStyle w:val="19"/>
        <w:rPr>
          <w:rFonts w:ascii="宋体" w:hAnsi="宋体" w:eastAsia="宋体" w:cs="宋体"/>
          <w:b/>
          <w:color w:val="auto"/>
        </w:rPr>
      </w:pPr>
    </w:p>
    <w:p>
      <w:pPr>
        <w:pStyle w:val="19"/>
        <w:rPr>
          <w:rFonts w:ascii="宋体" w:hAnsi="宋体" w:eastAsia="宋体" w:cs="宋体"/>
          <w:b/>
          <w:color w:val="auto"/>
        </w:rPr>
      </w:pPr>
    </w:p>
    <w:p>
      <w:pPr>
        <w:pStyle w:val="19"/>
        <w:rPr>
          <w:rFonts w:ascii="宋体" w:hAnsi="宋体" w:eastAsia="宋体" w:cs="宋体"/>
          <w:b/>
          <w:color w:val="auto"/>
        </w:rPr>
      </w:pPr>
    </w:p>
    <w:p>
      <w:pPr>
        <w:adjustRightInd w:val="0"/>
        <w:snapToGrid w:val="0"/>
        <w:rPr>
          <w:rFonts w:ascii="宋体" w:hAnsi="宋体" w:cs="宋体"/>
          <w:b/>
          <w:sz w:val="32"/>
          <w:szCs w:val="32"/>
        </w:rPr>
      </w:pPr>
    </w:p>
    <w:p>
      <w:pPr>
        <w:adjustRightInd w:val="0"/>
        <w:snapToGrid w:val="0"/>
        <w:ind w:firstLine="843"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adjustRightInd w:val="0"/>
        <w:snapToGrid w:val="0"/>
        <w:ind w:firstLine="843" w:firstLineChars="300"/>
        <w:rPr>
          <w:rFonts w:ascii="宋体" w:hAnsi="宋体" w:cs="宋体"/>
          <w:b/>
          <w:sz w:val="28"/>
          <w:szCs w:val="28"/>
        </w:rPr>
      </w:pPr>
    </w:p>
    <w:p>
      <w:pPr>
        <w:adjustRightInd w:val="0"/>
        <w:snapToGrid w:val="0"/>
        <w:ind w:firstLine="843"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adjustRightInd w:val="0"/>
        <w:snapToGrid w:val="0"/>
        <w:ind w:firstLine="843" w:firstLineChars="300"/>
        <w:rPr>
          <w:rFonts w:ascii="宋体" w:hAnsi="宋体" w:cs="宋体"/>
          <w:b/>
          <w:sz w:val="28"/>
          <w:szCs w:val="28"/>
        </w:rPr>
      </w:pPr>
    </w:p>
    <w:p>
      <w:pPr>
        <w:adjustRightInd w:val="0"/>
        <w:snapToGrid w:val="0"/>
        <w:ind w:firstLine="843"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20"/>
        <w:snapToGrid w:val="0"/>
        <w:spacing w:before="312" w:beforeLines="100" w:after="156" w:afterLines="50"/>
        <w:ind w:firstLine="922" w:firstLineChars="255"/>
        <w:rPr>
          <w:rFonts w:ascii="宋体" w:hAnsi="宋体" w:eastAsia="宋体" w:cs="宋体"/>
          <w:b/>
          <w:bCs/>
          <w:kern w:val="0"/>
          <w:sz w:val="36"/>
          <w:szCs w:val="36"/>
        </w:rPr>
      </w:pPr>
    </w:p>
    <w:p>
      <w:pPr>
        <w:pStyle w:val="20"/>
        <w:snapToGrid w:val="0"/>
        <w:spacing w:before="312" w:beforeLines="100" w:after="156" w:afterLines="50"/>
        <w:ind w:firstLine="922" w:firstLineChars="255"/>
        <w:rPr>
          <w:rFonts w:ascii="宋体" w:hAnsi="宋体" w:eastAsia="宋体" w:cs="宋体"/>
          <w:b/>
          <w:bCs/>
          <w:kern w:val="0"/>
          <w:sz w:val="36"/>
          <w:szCs w:val="36"/>
        </w:rPr>
      </w:pPr>
    </w:p>
    <w:p>
      <w:pPr>
        <w:pStyle w:val="20"/>
        <w:snapToGrid w:val="0"/>
        <w:spacing w:before="312" w:beforeLines="100" w:after="156" w:afterLines="50"/>
        <w:ind w:firstLine="922" w:firstLineChars="255"/>
        <w:rPr>
          <w:rFonts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20"/>
        <w:snapToGrid w:val="0"/>
        <w:spacing w:before="312" w:beforeLines="100" w:after="156" w:afterLines="50"/>
        <w:ind w:left="680"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rPr>
        <w:t>二〇二三年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pStyle w:val="2"/>
        <w:widowControl/>
        <w:shd w:val="clear" w:color="auto" w:fill="FFFFFF"/>
        <w:spacing w:beforeAutospacing="0" w:afterAutospacing="0" w:line="23" w:lineRule="atLeast"/>
        <w:rPr>
          <w:rFonts w:hint="default" w:cs="宋体"/>
          <w:color w:val="666666"/>
          <w:sz w:val="21"/>
          <w:szCs w:val="21"/>
          <w:shd w:val="clear" w:color="auto" w:fill="FFFFFF"/>
        </w:rPr>
      </w:pPr>
    </w:p>
    <w:p>
      <w:pPr>
        <w:pStyle w:val="2"/>
        <w:widowControl/>
        <w:shd w:val="clear" w:color="auto" w:fill="FFFFFF"/>
        <w:spacing w:beforeAutospacing="0" w:afterAutospacing="0" w:line="23" w:lineRule="atLeast"/>
        <w:rPr>
          <w:rFonts w:hint="default" w:cs="宋体"/>
          <w:color w:val="666666"/>
          <w:sz w:val="21"/>
          <w:szCs w:val="21"/>
          <w:shd w:val="clear" w:color="auto" w:fill="FFFFFF"/>
        </w:rPr>
      </w:pPr>
    </w:p>
    <w:p>
      <w:pPr>
        <w:pStyle w:val="2"/>
        <w:widowControl/>
        <w:shd w:val="clear" w:color="auto" w:fill="FFFFFF"/>
        <w:spacing w:beforeAutospacing="0" w:afterAutospacing="0" w:line="23" w:lineRule="atLeast"/>
        <w:rPr>
          <w:rFonts w:hint="default" w:cs="宋体"/>
          <w:color w:val="666666"/>
          <w:sz w:val="21"/>
          <w:szCs w:val="21"/>
          <w:shd w:val="clear" w:color="auto" w:fill="FFFFFF"/>
        </w:rPr>
      </w:pPr>
    </w:p>
    <w:p>
      <w:pPr>
        <w:pStyle w:val="2"/>
        <w:widowControl/>
        <w:shd w:val="clear" w:color="auto" w:fill="FFFFFF"/>
        <w:spacing w:beforeAutospacing="0" w:afterAutospacing="0" w:line="23" w:lineRule="atLeast"/>
        <w:rPr>
          <w:rFonts w:hint="default" w:cs="宋体"/>
          <w:color w:val="666666"/>
          <w:sz w:val="21"/>
          <w:szCs w:val="21"/>
          <w:shd w:val="clear" w:color="auto" w:fill="FFFFFF"/>
        </w:rPr>
      </w:pPr>
      <w:bookmarkStart w:id="0" w:name="_GoBack"/>
      <w:bookmarkEnd w:id="0"/>
    </w:p>
    <w:p>
      <w:pPr>
        <w:rPr>
          <w:rFonts w:cs="宋体"/>
          <w:color w:val="666666"/>
          <w:sz w:val="21"/>
          <w:szCs w:val="21"/>
          <w:shd w:val="clear" w:color="auto" w:fill="FFFFFF"/>
        </w:rPr>
      </w:pPr>
      <w:r>
        <w:rPr>
          <w:rFonts w:cs="宋体"/>
          <w:color w:val="666666"/>
          <w:sz w:val="21"/>
          <w:szCs w:val="21"/>
          <w:shd w:val="clear" w:color="auto" w:fill="FFFFFF"/>
        </w:rPr>
        <w:br w:type="page"/>
      </w:r>
    </w:p>
    <w:p>
      <w:pPr>
        <w:pStyle w:val="2"/>
        <w:widowControl/>
        <w:shd w:val="clear" w:color="auto" w:fill="FFFFFF"/>
        <w:spacing w:beforeAutospacing="0" w:afterAutospacing="0" w:line="23" w:lineRule="atLeast"/>
        <w:rPr>
          <w:rFonts w:hint="eastAsia" w:cs="宋体"/>
          <w:color w:val="666666"/>
          <w:sz w:val="21"/>
          <w:szCs w:val="21"/>
          <w:shd w:val="clear" w:color="auto" w:fill="FFFFFF"/>
          <w:lang w:val="en-US" w:eastAsia="zh-CN"/>
        </w:rPr>
      </w:pPr>
    </w:p>
    <w:p>
      <w:pPr>
        <w:rPr>
          <w:rFonts w:hint="default" w:cs="宋体" w:eastAsiaTheme="minorEastAsia"/>
          <w:color w:val="666666"/>
          <w:sz w:val="21"/>
          <w:szCs w:val="21"/>
          <w:shd w:val="clear" w:color="auto" w:fill="FFFFFF"/>
          <w:lang w:val="en-US" w:eastAsia="zh-CN"/>
        </w:rPr>
      </w:pPr>
      <w:r>
        <w:rPr>
          <w:rFonts w:hint="eastAsia" w:cs="宋体"/>
          <w:color w:val="666666"/>
          <w:sz w:val="21"/>
          <w:szCs w:val="21"/>
          <w:shd w:val="clear" w:color="auto" w:fill="FFFFFF"/>
          <w:lang w:val="en-US" w:eastAsia="zh-CN"/>
        </w:rPr>
        <w:t>项目报价表</w:t>
      </w:r>
    </w:p>
    <w:tbl>
      <w:tblPr>
        <w:tblStyle w:val="8"/>
        <w:tblW w:w="9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765"/>
        <w:gridCol w:w="4577"/>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4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c>
          <w:tcPr>
            <w:tcW w:w="45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项目报价（元/三年）</w:t>
            </w:r>
          </w:p>
        </w:tc>
        <w:tc>
          <w:tcPr>
            <w:tcW w:w="35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pStyle w:val="2"/>
        <w:widowControl/>
        <w:shd w:val="clear" w:color="auto" w:fill="FFFFFF"/>
        <w:spacing w:beforeAutospacing="0" w:afterAutospacing="0" w:line="23" w:lineRule="atLeast"/>
        <w:rPr>
          <w:rFonts w:hint="eastAsia" w:cs="宋体"/>
          <w:color w:val="666666"/>
          <w:sz w:val="21"/>
          <w:szCs w:val="21"/>
          <w:shd w:val="clear" w:color="auto" w:fill="FFFFFF"/>
          <w:lang w:val="en-US" w:eastAsia="zh-CN"/>
        </w:rPr>
      </w:pPr>
    </w:p>
    <w:p>
      <w:pPr>
        <w:pStyle w:val="2"/>
        <w:widowControl/>
        <w:shd w:val="clear" w:color="auto" w:fill="FFFFFF"/>
        <w:spacing w:beforeAutospacing="0" w:afterAutospacing="0" w:line="23" w:lineRule="atLeast"/>
        <w:rPr>
          <w:rFonts w:hint="eastAsia" w:cs="宋体"/>
          <w:color w:val="666666"/>
          <w:sz w:val="21"/>
          <w:szCs w:val="21"/>
          <w:shd w:val="clear" w:color="auto" w:fill="FFFFFF"/>
          <w:lang w:val="en-US" w:eastAsia="zh-CN"/>
        </w:rPr>
      </w:pPr>
    </w:p>
    <w:p>
      <w:pPr>
        <w:pStyle w:val="2"/>
        <w:widowControl/>
        <w:shd w:val="clear" w:color="auto" w:fill="FFFFFF"/>
        <w:spacing w:beforeAutospacing="0" w:afterAutospacing="0" w:line="23" w:lineRule="atLeast"/>
        <w:rPr>
          <w:rFonts w:hint="default" w:eastAsia="宋体" w:cs="宋体"/>
          <w:color w:val="666666"/>
          <w:sz w:val="21"/>
          <w:szCs w:val="21"/>
          <w:shd w:val="clear" w:color="auto" w:fill="FFFFFF"/>
          <w:lang w:val="en-US" w:eastAsia="zh-CN"/>
        </w:rPr>
      </w:pPr>
      <w:r>
        <w:rPr>
          <w:rFonts w:hint="eastAsia" w:cs="宋体"/>
          <w:color w:val="666666"/>
          <w:sz w:val="21"/>
          <w:szCs w:val="21"/>
          <w:shd w:val="clear" w:color="auto" w:fill="FFFFFF"/>
          <w:lang w:val="en-US" w:eastAsia="zh-CN"/>
        </w:rPr>
        <w:t>项目响应应答表</w:t>
      </w:r>
    </w:p>
    <w:tbl>
      <w:tblPr>
        <w:tblStyle w:val="8"/>
        <w:tblW w:w="9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765"/>
        <w:gridCol w:w="4877"/>
        <w:gridCol w:w="1260"/>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4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是否响应</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备注信息（佐证资料及页码）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具有询价、比价、寻源功能。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具有建筑材料、设备招标采购功能。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与审计、财评数据一致。</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具有政府、国企中标单价。</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具有配电箱组价功能。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真实项目报价单，询价依据可证明有效性。</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具有价格查询导出系统，做到数据存储导出成果文件。</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具有不同类型材料价格走势报告。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投标人针对本项目要求提供的项目实施方案（包括不限于）：人工询价数目≥1000条；使用账号≥2个；培训支持；全国信息价；专业产品类型的指数报告；各地产品品牌热搜度排行等。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投标人针对本项目要求提供的网站使用培训方案。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投标人针对本项目要求提供的项目应急方案（包括不限于）：网站出现问题修复时间≤2个工作日及应急方案。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w:t>
            </w:r>
          </w:p>
        </w:tc>
        <w:tc>
          <w:tcPr>
            <w:tcW w:w="4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投标人针对本项目要求报出总分包、设计单位、材料供应商的动态数据库数量。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cs="宋体"/>
          <w:color w:val="666666"/>
          <w:sz w:val="21"/>
          <w:szCs w:val="21"/>
          <w:shd w:val="clear" w:color="auto" w:fill="FFFFFF"/>
        </w:rPr>
      </w:pPr>
    </w:p>
    <w:p>
      <w:pPr>
        <w:widowControl/>
        <w:shd w:val="clear" w:color="auto" w:fill="FFFFFF"/>
        <w:spacing w:line="560" w:lineRule="exact"/>
        <w:jc w:val="both"/>
        <w:rPr>
          <w:rFonts w:hint="eastAsia" w:ascii="宋体" w:hAnsi="宋体" w:eastAsia="宋体" w:cs="宋体"/>
          <w:b/>
          <w:bCs/>
          <w:color w:val="666666"/>
          <w:kern w:val="44"/>
          <w:sz w:val="21"/>
          <w:szCs w:val="21"/>
          <w:shd w:val="clear" w:color="auto" w:fill="FFFFFF"/>
          <w:lang w:val="en-US" w:eastAsia="zh-CN" w:bidi="ar-SA"/>
        </w:rPr>
      </w:pPr>
      <w:r>
        <w:rPr>
          <w:rFonts w:hint="eastAsia" w:ascii="宋体" w:hAnsi="宋体" w:eastAsia="宋体" w:cs="宋体"/>
          <w:b/>
          <w:bCs/>
          <w:color w:val="666666"/>
          <w:kern w:val="44"/>
          <w:sz w:val="21"/>
          <w:szCs w:val="21"/>
          <w:shd w:val="clear" w:color="auto" w:fill="FFFFFF"/>
          <w:lang w:val="en-US" w:eastAsia="zh-CN" w:bidi="ar-SA"/>
        </w:rPr>
        <w:t>综合评分表</w:t>
      </w:r>
    </w:p>
    <w:tbl>
      <w:tblPr>
        <w:tblStyle w:val="8"/>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575"/>
        <w:gridCol w:w="510"/>
        <w:gridCol w:w="2895"/>
        <w:gridCol w:w="5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评分内容</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1.具有询价、比价、寻源功能得2分。</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2.具有建筑材料、设备招标采购功能得2分。</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3.与审计、财评数据一致得10分。</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4.具有政府、国企中标单价得3分。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5.具有配电箱组价功能得5分。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6.真实项目报价单，询价依据可证明有效性得8分。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7.具有价格查询导出系统，做到数据存储导出成果文件得5分。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8.具有不同类型材料价格走势报告得5分。</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所有响应的每条技术指标需提供对应的佐证资料并加盖投标人单位公章，无佐证资料不得分，以相应国家机关证明优于地方机关证明、地方机关证明优于自我证明为原则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5"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根据投标人针对本项目要求提供的项目实施方案：人工询价≥1000条；使用账号≥2个；可提供培训支持；全国信息价；专业产品类型的指数报告；各地产品品牌热搜度排行；</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提供的项目实施方案进行综合评定。包括不限于：1.人工询价≥1000条承诺或网站截图；2.使用账号≥2个承诺；3.培训支持方案；4.全国信息价截图；5.专业产品类型的指数报告；6.各地产品品牌热搜度排行。每提供一个方案或截图得3分。提供的方案中每有一处具有缺陷（缺陷是指：存在不适用项目实际情况的情形、凭空编造、方案中内容前后不一致、前后逻辑错误、涉及的规范及标准错误、地点区域错误、内容缺失、不符合项目实际情况等）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根据投标人针对本项目要求提供的网站使用培训方案</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提供科学完整有效的项目培训方案，最多得10分。提供的方案中每有一处具有缺陷（缺陷是指：存在不适用项目实际情况的情形、凭空编造、方案中内容前后不一致、前后逻辑错误、涉及的规范及标准错误、地点区域错误、内容缺失、不符合项目实际情况等）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3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根据投标人针对本项目要求提供的项目应急方案：网站出现问题，修复时间在1-2个工作日</w:t>
            </w:r>
          </w:p>
        </w:tc>
        <w:tc>
          <w:tcPr>
            <w:tcW w:w="50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提供科学完整有效的应急方案，最多得10分。提供的方案中每有一处具有缺陷（缺陷是指：存在不适用项目实际情况的情形、凭空编造、方案中内容前后不一致、前后逻辑错误、涉及的规范及标准错误、地点区域错误、内容缺失、不符合项目实际情况等）的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根据投标人针对本项目有效的投标报价</w:t>
            </w:r>
          </w:p>
        </w:tc>
        <w:tc>
          <w:tcPr>
            <w:tcW w:w="5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有效的投标报价中的最低价为评标基准价，其价格分为满分。其他投标人的价格分统一按照下列公式计算： 投标报价得分＝（评标基准价/投标报价）×价格权重×100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3" w:hRule="atLeast"/>
        </w:trPr>
        <w:tc>
          <w:tcPr>
            <w:tcW w:w="4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w:t>
            </w:r>
          </w:p>
        </w:tc>
        <w:tc>
          <w:tcPr>
            <w:tcW w:w="5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投标人针对本项目要求报出总分包、设计单位、材料供应商的动态数据库数量。</w:t>
            </w:r>
          </w:p>
        </w:tc>
        <w:tc>
          <w:tcPr>
            <w:tcW w:w="50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1.根据投标人提供的2020年1月1日至递交投标文件截止日的类似项目业绩进行打分，每提供一个得0.5分，最多得5分。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提供的2020年1月1日至递交投标文件截止日的类似项目业绩进行打分，≥20万家以上总分包、设计单位、材料供应商的动态数据库得5分；≥10万家以上总分包、设计单位、材料供应商的动态数据库得3分；≥5万家以上总分包、设计单位、材料供应商的动态数据库得1分；＜5万家总分包、设计单位、材料供应商的动态数据库不得分。</w:t>
            </w:r>
          </w:p>
        </w:tc>
      </w:tr>
    </w:tbl>
    <w:p>
      <w:pPr>
        <w:rPr>
          <w:rFonts w:ascii="仿宋_GB2312" w:hAnsi="仿宋" w:eastAsia="仿宋_GB2312" w:cs="仿宋"/>
          <w:sz w:val="32"/>
          <w:szCs w:val="32"/>
        </w:rPr>
      </w:pPr>
      <w:r>
        <w:rPr>
          <w:rFonts w:ascii="仿宋_GB2312" w:hAnsi="仿宋" w:eastAsia="仿宋_GB2312" w:cs="仿宋"/>
          <w:sz w:val="32"/>
          <w:szCs w:val="32"/>
        </w:rPr>
        <w:br w:type="page"/>
      </w:r>
    </w:p>
    <w:p>
      <w:pPr>
        <w:widowControl/>
        <w:shd w:val="clear" w:color="auto" w:fill="FFFFFF"/>
        <w:spacing w:line="560" w:lineRule="exact"/>
        <w:jc w:val="center"/>
        <w:rPr>
          <w:rFonts w:ascii="宋体" w:hAnsi="宋体"/>
          <w:b/>
          <w:sz w:val="36"/>
          <w:szCs w:val="36"/>
        </w:rPr>
      </w:pPr>
      <w:r>
        <w:rPr>
          <w:rFonts w:hint="eastAsia" w:ascii="宋体" w:hAnsi="宋体"/>
          <w:b/>
          <w:sz w:val="36"/>
          <w:szCs w:val="36"/>
        </w:rPr>
        <w:t>四川大学华西医院资阳医院  资阳市第一人民医院</w:t>
      </w:r>
    </w:p>
    <w:p>
      <w:pPr>
        <w:widowControl/>
        <w:shd w:val="clear" w:color="auto" w:fill="FFFFFF"/>
        <w:spacing w:line="560" w:lineRule="exact"/>
        <w:jc w:val="center"/>
        <w:rPr>
          <w:rFonts w:ascii="黑体" w:hAnsi="黑体" w:eastAsia="黑体"/>
          <w:sz w:val="36"/>
          <w:szCs w:val="36"/>
        </w:rPr>
      </w:pPr>
      <w:r>
        <w:rPr>
          <w:rFonts w:hint="eastAsia" w:ascii="黑体" w:hAnsi="黑体" w:eastAsia="黑体"/>
          <w:color w:val="000000"/>
          <w:sz w:val="36"/>
          <w:szCs w:val="36"/>
          <w:lang w:val="en-US" w:eastAsia="zh-CN"/>
        </w:rPr>
        <w:t>认质认价辅助工具采购项目</w:t>
      </w:r>
      <w:r>
        <w:rPr>
          <w:rFonts w:hint="eastAsia" w:ascii="黑体" w:hAnsi="黑体" w:eastAsia="黑体"/>
          <w:color w:val="000000"/>
          <w:sz w:val="36"/>
          <w:szCs w:val="36"/>
        </w:rPr>
        <w:t>综合评分表</w:t>
      </w:r>
    </w:p>
    <w:p>
      <w:pPr>
        <w:spacing w:line="400" w:lineRule="exact"/>
        <w:jc w:val="center"/>
        <w:rPr>
          <w:rFonts w:ascii="黑体" w:hAnsi="黑体" w:eastAsia="黑体"/>
          <w:color w:val="000000"/>
          <w:sz w:val="32"/>
        </w:rPr>
      </w:pPr>
    </w:p>
    <w:p>
      <w:pPr>
        <w:spacing w:line="500" w:lineRule="exact"/>
        <w:rPr>
          <w:rFonts w:ascii="仿宋_GB2312" w:hAnsi="宋体" w:eastAsia="仿宋_GB2312"/>
          <w:color w:val="000000"/>
          <w:sz w:val="32"/>
          <w:u w:val="single"/>
        </w:rPr>
      </w:pPr>
      <w:r>
        <w:rPr>
          <w:rFonts w:hint="eastAsia" w:ascii="仿宋_GB2312" w:hAnsi="宋体" w:eastAsia="仿宋_GB2312"/>
          <w:color w:val="000000"/>
          <w:sz w:val="32"/>
        </w:rPr>
        <w:t>参加公司名称</w:t>
      </w:r>
      <w:r>
        <w:rPr>
          <w:rFonts w:hint="eastAsia" w:ascii="仿宋_GB2312" w:hAnsi="宋体" w:eastAsia="仿宋_GB2312"/>
          <w:color w:val="000000"/>
          <w:sz w:val="32"/>
          <w:u w:val="single"/>
        </w:rPr>
        <w:t xml:space="preserve">             </w:t>
      </w:r>
    </w:p>
    <w:p>
      <w:pPr>
        <w:spacing w:line="500" w:lineRule="exact"/>
        <w:ind w:firstLine="640" w:firstLineChars="200"/>
        <w:rPr>
          <w:rFonts w:ascii="黑体" w:hAnsi="黑体" w:eastAsia="黑体"/>
          <w:color w:val="000000"/>
          <w:sz w:val="32"/>
        </w:rPr>
      </w:pPr>
      <w:r>
        <w:rPr>
          <w:rFonts w:hint="eastAsia" w:ascii="黑体" w:hAnsi="黑体" w:eastAsia="黑体"/>
          <w:color w:val="000000"/>
          <w:sz w:val="32"/>
        </w:rPr>
        <w:t>一、评分说明</w:t>
      </w:r>
    </w:p>
    <w:p>
      <w:pPr>
        <w:spacing w:line="500" w:lineRule="exact"/>
        <w:ind w:firstLine="640" w:firstLineChars="200"/>
        <w:rPr>
          <w:rFonts w:ascii="仿宋_GB2312" w:hAnsi="宋体" w:eastAsia="仿宋_GB2312" w:cs="Times New Roman"/>
          <w:color w:val="000000"/>
          <w:sz w:val="32"/>
        </w:rPr>
      </w:pPr>
      <w:r>
        <w:rPr>
          <w:rFonts w:hint="eastAsia" w:ascii="仿宋_GB2312" w:hAnsi="宋体" w:eastAsia="仿宋_GB2312" w:cs="Times New Roman"/>
          <w:color w:val="000000"/>
          <w:sz w:val="32"/>
        </w:rPr>
        <w:t>综合</w:t>
      </w:r>
      <w:r>
        <w:rPr>
          <w:rFonts w:hint="eastAsia" w:ascii="仿宋_GB2312" w:hAnsi="宋体" w:eastAsia="仿宋_GB2312" w:cs="Times New Roman"/>
          <w:color w:val="000000"/>
          <w:sz w:val="32"/>
          <w:lang w:val="en-US" w:eastAsia="zh-CN"/>
        </w:rPr>
        <w:t>评分法</w:t>
      </w:r>
      <w:r>
        <w:rPr>
          <w:rFonts w:hint="eastAsia" w:ascii="仿宋_GB2312" w:hAnsi="宋体" w:eastAsia="仿宋_GB2312" w:cs="Times New Roman"/>
          <w:color w:val="000000"/>
          <w:sz w:val="32"/>
        </w:rPr>
        <w:t>。</w:t>
      </w:r>
    </w:p>
    <w:p>
      <w:pPr>
        <w:spacing w:line="500" w:lineRule="exact"/>
        <w:ind w:firstLine="640" w:firstLineChars="200"/>
        <w:rPr>
          <w:rFonts w:hint="eastAsia" w:ascii="黑体" w:hAnsi="黑体" w:eastAsia="黑体"/>
          <w:color w:val="000000"/>
          <w:sz w:val="32"/>
          <w:lang w:eastAsia="zh-CN"/>
        </w:rPr>
      </w:pPr>
      <w:r>
        <w:rPr>
          <w:rFonts w:hint="eastAsia" w:ascii="黑体" w:hAnsi="黑体" w:eastAsia="黑体"/>
          <w:color w:val="000000"/>
          <w:sz w:val="32"/>
        </w:rPr>
        <w:t>二、评分</w:t>
      </w:r>
      <w:r>
        <w:rPr>
          <w:rFonts w:hint="eastAsia" w:ascii="黑体" w:hAnsi="黑体" w:eastAsia="黑体"/>
          <w:color w:val="000000"/>
          <w:sz w:val="32"/>
          <w:lang w:val="en-US" w:eastAsia="zh-CN"/>
        </w:rPr>
        <w:t>表</w:t>
      </w:r>
    </w:p>
    <w:tbl>
      <w:tblPr>
        <w:tblStyle w:val="8"/>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085"/>
        <w:gridCol w:w="211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1314" w:type="dxa"/>
            <w:vAlign w:val="center"/>
          </w:tcPr>
          <w:p>
            <w:pPr>
              <w:spacing w:line="240" w:lineRule="exact"/>
              <w:ind w:firstLine="28"/>
              <w:jc w:val="center"/>
              <w:rPr>
                <w:rFonts w:ascii="仿宋_GB2312" w:hAnsi="宋体" w:eastAsia="仿宋_GB2312"/>
                <w:sz w:val="24"/>
              </w:rPr>
            </w:pPr>
            <w:r>
              <w:rPr>
                <w:rFonts w:hint="eastAsia" w:ascii="仿宋_GB2312" w:hAnsi="宋体" w:eastAsia="仿宋_GB2312"/>
                <w:sz w:val="24"/>
              </w:rPr>
              <w:t>序号</w:t>
            </w:r>
          </w:p>
        </w:tc>
        <w:tc>
          <w:tcPr>
            <w:tcW w:w="2085" w:type="dxa"/>
            <w:vAlign w:val="center"/>
          </w:tcPr>
          <w:p>
            <w:pPr>
              <w:spacing w:line="240" w:lineRule="exact"/>
              <w:ind w:firstLine="28"/>
              <w:jc w:val="center"/>
              <w:rPr>
                <w:rFonts w:ascii="仿宋_GB2312" w:hAnsi="宋体" w:eastAsia="仿宋_GB2312"/>
                <w:sz w:val="24"/>
              </w:rPr>
            </w:pPr>
          </w:p>
          <w:p>
            <w:pPr>
              <w:spacing w:line="240" w:lineRule="exact"/>
              <w:ind w:firstLine="28"/>
              <w:jc w:val="center"/>
              <w:rPr>
                <w:rFonts w:ascii="仿宋_GB2312" w:hAnsi="宋体" w:eastAsia="仿宋_GB2312"/>
                <w:sz w:val="24"/>
              </w:rPr>
            </w:pPr>
            <w:r>
              <w:rPr>
                <w:rFonts w:hint="eastAsia" w:ascii="仿宋_GB2312" w:hAnsi="宋体" w:eastAsia="仿宋_GB2312"/>
                <w:sz w:val="24"/>
              </w:rPr>
              <w:t>评分因素</w:t>
            </w:r>
          </w:p>
          <w:p>
            <w:pPr>
              <w:spacing w:line="240" w:lineRule="exact"/>
              <w:ind w:firstLine="28"/>
              <w:jc w:val="center"/>
              <w:rPr>
                <w:rFonts w:ascii="仿宋_GB2312" w:hAnsi="宋体" w:eastAsia="仿宋_GB2312"/>
                <w:sz w:val="24"/>
              </w:rPr>
            </w:pPr>
          </w:p>
        </w:tc>
        <w:tc>
          <w:tcPr>
            <w:tcW w:w="2115" w:type="dxa"/>
            <w:vAlign w:val="center"/>
          </w:tcPr>
          <w:p>
            <w:pPr>
              <w:spacing w:line="240" w:lineRule="exact"/>
              <w:ind w:firstLine="28"/>
              <w:jc w:val="center"/>
              <w:rPr>
                <w:rFonts w:ascii="仿宋_GB2312" w:hAnsi="宋体" w:eastAsia="仿宋_GB2312"/>
                <w:sz w:val="24"/>
              </w:rPr>
            </w:pPr>
            <w:r>
              <w:rPr>
                <w:rFonts w:hint="eastAsia" w:ascii="仿宋_GB2312" w:hAnsi="宋体" w:eastAsia="仿宋_GB2312"/>
                <w:sz w:val="24"/>
              </w:rPr>
              <w:t>最高分值</w:t>
            </w:r>
          </w:p>
        </w:tc>
        <w:tc>
          <w:tcPr>
            <w:tcW w:w="3060" w:type="dxa"/>
            <w:vAlign w:val="center"/>
          </w:tcPr>
          <w:p>
            <w:pPr>
              <w:spacing w:line="240" w:lineRule="exact"/>
              <w:jc w:val="center"/>
              <w:rPr>
                <w:rFonts w:ascii="仿宋_GB2312" w:hAnsi="宋体" w:eastAsia="仿宋_GB2312"/>
                <w:sz w:val="24"/>
              </w:rPr>
            </w:pPr>
            <w:r>
              <w:rPr>
                <w:rFonts w:hint="eastAsia" w:ascii="仿宋_GB2312" w:hAnsi="宋体"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4" w:type="dxa"/>
            <w:vAlign w:val="center"/>
          </w:tcPr>
          <w:p>
            <w:pPr>
              <w:spacing w:line="240" w:lineRule="exact"/>
              <w:ind w:firstLine="28"/>
              <w:jc w:val="center"/>
              <w:rPr>
                <w:rFonts w:ascii="仿宋_GB2312" w:hAnsi="宋体" w:eastAsia="仿宋_GB2312"/>
                <w:sz w:val="24"/>
              </w:rPr>
            </w:pPr>
            <w:r>
              <w:rPr>
                <w:rFonts w:hint="eastAsia" w:ascii="仿宋_GB2312" w:hAnsi="宋体" w:eastAsia="仿宋_GB2312"/>
                <w:sz w:val="24"/>
              </w:rPr>
              <w:t>1</w:t>
            </w:r>
          </w:p>
        </w:tc>
        <w:tc>
          <w:tcPr>
            <w:tcW w:w="2085" w:type="dxa"/>
            <w:vAlign w:val="center"/>
          </w:tcPr>
          <w:p>
            <w:pPr>
              <w:spacing w:line="240" w:lineRule="exact"/>
              <w:ind w:firstLine="28"/>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技术要求</w:t>
            </w:r>
          </w:p>
        </w:tc>
        <w:tc>
          <w:tcPr>
            <w:tcW w:w="2115" w:type="dxa"/>
            <w:vAlign w:val="center"/>
          </w:tcPr>
          <w:p>
            <w:pPr>
              <w:keepNext w:val="0"/>
              <w:keepLines w:val="0"/>
              <w:widowControl/>
              <w:suppressLineNumbers w:val="0"/>
              <w:jc w:val="center"/>
              <w:textAlignment w:val="center"/>
              <w:rPr>
                <w:rFonts w:ascii="仿宋_GB2312" w:hAnsi="宋体" w:eastAsia="仿宋_GB2312"/>
                <w:sz w:val="24"/>
              </w:rPr>
            </w:pPr>
            <w:r>
              <w:rPr>
                <w:rFonts w:hint="eastAsia" w:ascii="宋体" w:hAnsi="宋体" w:eastAsia="宋体" w:cs="宋体"/>
                <w:i w:val="0"/>
                <w:iCs w:val="0"/>
                <w:color w:val="000000"/>
                <w:kern w:val="0"/>
                <w:sz w:val="22"/>
                <w:szCs w:val="22"/>
                <w:u w:val="none"/>
                <w:lang w:val="en-US" w:eastAsia="zh-CN" w:bidi="ar"/>
              </w:rPr>
              <w:t>40</w:t>
            </w:r>
          </w:p>
        </w:tc>
        <w:tc>
          <w:tcPr>
            <w:tcW w:w="3060" w:type="dxa"/>
            <w:vAlign w:val="center"/>
          </w:tcPr>
          <w:p>
            <w:pPr>
              <w:spacing w:line="240" w:lineRule="exact"/>
              <w:jc w:val="center"/>
              <w:rPr>
                <w:rFonts w:ascii="仿宋_GB2312" w:hAnsi="宋体" w:eastAsia="仿宋_GB2312"/>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14" w:type="dxa"/>
            <w:vAlign w:val="center"/>
          </w:tcPr>
          <w:p>
            <w:pPr>
              <w:spacing w:line="240" w:lineRule="exact"/>
              <w:ind w:firstLine="28"/>
              <w:jc w:val="center"/>
              <w:rPr>
                <w:rFonts w:ascii="仿宋_GB2312" w:hAnsi="宋体" w:eastAsia="仿宋_GB2312"/>
                <w:sz w:val="24"/>
              </w:rPr>
            </w:pPr>
            <w:r>
              <w:rPr>
                <w:rFonts w:hint="eastAsia" w:ascii="仿宋_GB2312" w:hAnsi="宋体" w:eastAsia="仿宋_GB2312"/>
                <w:sz w:val="24"/>
              </w:rPr>
              <w:t>2</w:t>
            </w:r>
          </w:p>
        </w:tc>
        <w:tc>
          <w:tcPr>
            <w:tcW w:w="2085" w:type="dxa"/>
            <w:vAlign w:val="center"/>
          </w:tcPr>
          <w:p>
            <w:pPr>
              <w:spacing w:line="240" w:lineRule="exact"/>
              <w:ind w:firstLine="28"/>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服务方案</w:t>
            </w:r>
          </w:p>
        </w:tc>
        <w:tc>
          <w:tcPr>
            <w:tcW w:w="2115" w:type="dxa"/>
            <w:vAlign w:val="center"/>
          </w:tcPr>
          <w:p>
            <w:pPr>
              <w:keepNext w:val="0"/>
              <w:keepLines w:val="0"/>
              <w:widowControl/>
              <w:suppressLineNumbers w:val="0"/>
              <w:jc w:val="center"/>
              <w:textAlignment w:val="center"/>
              <w:rPr>
                <w:rFonts w:hint="default" w:ascii="仿宋_GB2312" w:hAnsi="宋体" w:eastAsia="仿宋_GB2312"/>
                <w:sz w:val="24"/>
                <w:lang w:val="en-US"/>
              </w:rPr>
            </w:pPr>
            <w:r>
              <w:rPr>
                <w:rFonts w:hint="eastAsia" w:ascii="宋体" w:hAnsi="宋体" w:eastAsia="宋体" w:cs="宋体"/>
                <w:i w:val="0"/>
                <w:iCs w:val="0"/>
                <w:color w:val="000000"/>
                <w:kern w:val="0"/>
                <w:sz w:val="22"/>
                <w:szCs w:val="22"/>
                <w:u w:val="none"/>
                <w:lang w:val="en-US" w:eastAsia="zh-CN" w:bidi="ar"/>
              </w:rPr>
              <w:t>38</w:t>
            </w:r>
          </w:p>
        </w:tc>
        <w:tc>
          <w:tcPr>
            <w:tcW w:w="3060" w:type="dxa"/>
            <w:vAlign w:val="center"/>
          </w:tcPr>
          <w:p>
            <w:pPr>
              <w:spacing w:line="240" w:lineRule="exact"/>
              <w:jc w:val="center"/>
              <w:rPr>
                <w:rFonts w:ascii="仿宋_GB2312" w:hAnsi="宋体" w:eastAsia="仿宋_GB2312"/>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14" w:type="dxa"/>
            <w:vAlign w:val="center"/>
          </w:tcPr>
          <w:p>
            <w:pPr>
              <w:spacing w:line="240" w:lineRule="exact"/>
              <w:ind w:firstLine="28"/>
              <w:jc w:val="center"/>
              <w:rPr>
                <w:rFonts w:hint="eastAsia" w:ascii="仿宋_GB2312" w:hAnsi="宋体" w:eastAsia="仿宋_GB2312"/>
                <w:sz w:val="24"/>
                <w:lang w:eastAsia="zh-CN"/>
              </w:rPr>
            </w:pPr>
            <w:r>
              <w:rPr>
                <w:rFonts w:hint="eastAsia" w:ascii="仿宋_GB2312" w:hAnsi="宋体" w:eastAsia="仿宋_GB2312"/>
                <w:sz w:val="24"/>
                <w:lang w:val="en-US" w:eastAsia="zh-CN"/>
              </w:rPr>
              <w:t>3</w:t>
            </w:r>
          </w:p>
        </w:tc>
        <w:tc>
          <w:tcPr>
            <w:tcW w:w="2085" w:type="dxa"/>
            <w:vAlign w:val="center"/>
          </w:tcPr>
          <w:p>
            <w:pPr>
              <w:spacing w:line="240" w:lineRule="exact"/>
              <w:ind w:firstLine="28"/>
              <w:jc w:val="center"/>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价格得分</w:t>
            </w:r>
          </w:p>
        </w:tc>
        <w:tc>
          <w:tcPr>
            <w:tcW w:w="2115" w:type="dxa"/>
            <w:vAlign w:val="center"/>
          </w:tcPr>
          <w:p>
            <w:pPr>
              <w:spacing w:line="240" w:lineRule="exact"/>
              <w:ind w:firstLine="28"/>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12</w:t>
            </w:r>
          </w:p>
        </w:tc>
        <w:tc>
          <w:tcPr>
            <w:tcW w:w="3060" w:type="dxa"/>
            <w:vAlign w:val="center"/>
          </w:tcPr>
          <w:p>
            <w:pPr>
              <w:spacing w:line="240" w:lineRule="exact"/>
              <w:jc w:val="center"/>
              <w:rPr>
                <w:rFonts w:ascii="仿宋_GB2312" w:hAnsi="宋体" w:eastAsia="仿宋_GB2312"/>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14" w:type="dxa"/>
            <w:vAlign w:val="center"/>
          </w:tcPr>
          <w:p>
            <w:pPr>
              <w:spacing w:line="240" w:lineRule="exact"/>
              <w:ind w:firstLine="28"/>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4</w:t>
            </w:r>
          </w:p>
        </w:tc>
        <w:tc>
          <w:tcPr>
            <w:tcW w:w="2085" w:type="dxa"/>
            <w:vAlign w:val="center"/>
          </w:tcPr>
          <w:p>
            <w:pPr>
              <w:spacing w:line="240" w:lineRule="exact"/>
              <w:ind w:firstLine="28"/>
              <w:jc w:val="center"/>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类似业绩</w:t>
            </w:r>
          </w:p>
        </w:tc>
        <w:tc>
          <w:tcPr>
            <w:tcW w:w="2115" w:type="dxa"/>
            <w:vAlign w:val="center"/>
          </w:tcPr>
          <w:p>
            <w:pPr>
              <w:spacing w:line="240" w:lineRule="exact"/>
              <w:ind w:firstLine="28"/>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10</w:t>
            </w:r>
          </w:p>
        </w:tc>
        <w:tc>
          <w:tcPr>
            <w:tcW w:w="3060" w:type="dxa"/>
            <w:vAlign w:val="center"/>
          </w:tcPr>
          <w:p>
            <w:pPr>
              <w:spacing w:line="240" w:lineRule="exact"/>
              <w:jc w:val="center"/>
              <w:rPr>
                <w:rFonts w:ascii="仿宋_GB2312" w:hAnsi="宋体" w:eastAsia="仿宋_GB2312"/>
                <w:color w:val="00B0F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14" w:type="dxa"/>
            <w:vAlign w:val="center"/>
          </w:tcPr>
          <w:p>
            <w:pPr>
              <w:spacing w:line="240" w:lineRule="exact"/>
              <w:ind w:firstLine="28"/>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5</w:t>
            </w:r>
          </w:p>
        </w:tc>
        <w:tc>
          <w:tcPr>
            <w:tcW w:w="4200" w:type="dxa"/>
            <w:gridSpan w:val="2"/>
            <w:vAlign w:val="center"/>
          </w:tcPr>
          <w:p>
            <w:pPr>
              <w:spacing w:line="240" w:lineRule="exact"/>
              <w:ind w:firstLine="28"/>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合计</w:t>
            </w:r>
          </w:p>
        </w:tc>
        <w:tc>
          <w:tcPr>
            <w:tcW w:w="3060" w:type="dxa"/>
            <w:vAlign w:val="center"/>
          </w:tcPr>
          <w:p>
            <w:pPr>
              <w:spacing w:line="240" w:lineRule="exact"/>
              <w:jc w:val="center"/>
              <w:rPr>
                <w:rFonts w:ascii="仿宋_GB2312" w:hAnsi="宋体" w:eastAsia="仿宋_GB2312"/>
                <w:color w:val="00B0F0"/>
                <w:sz w:val="24"/>
              </w:rPr>
            </w:pPr>
          </w:p>
        </w:tc>
      </w:tr>
    </w:tbl>
    <w:p>
      <w:pPr>
        <w:rPr>
          <w:rFonts w:ascii="仿宋_GB2312" w:hAnsi="仿宋" w:eastAsia="仿宋_GB2312" w:cs="仿宋"/>
          <w:sz w:val="32"/>
          <w:szCs w:val="32"/>
        </w:rPr>
      </w:pPr>
    </w:p>
    <w:p>
      <w:pPr>
        <w:rPr>
          <w:rFonts w:ascii="仿宋_GB2312" w:hAnsi="仿宋" w:eastAsia="仿宋_GB2312" w:cs="仿宋"/>
          <w:sz w:val="32"/>
          <w:szCs w:val="32"/>
        </w:rPr>
      </w:pPr>
      <w:r>
        <w:rPr>
          <w:rFonts w:ascii="仿宋_GB2312" w:hAnsi="仿宋" w:eastAsia="仿宋_GB2312" w:cs="仿宋"/>
          <w:sz w:val="32"/>
          <w:szCs w:val="32"/>
        </w:rPr>
        <w:br w:type="page"/>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附件2：</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廉洁承诺书</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一、进一步统一思想，充分认识开展治理商业贿赂专项治理的重要性、紧迫性和必要性。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二、应积极配合医院开展自查自纠工作，积极配合对相关医务人员的商业贿赂行为进行查处。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三、不找有关领导干涉药品、医用设备、医用耗材等购销活动，不以贿赂的方式将上述商品销售到医院。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四、不向药品、医用设备、医用耗材等购销人员给予各种名义的财物或回扣。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五、不向从事药品、医用设备、医用耗材等相关活动的人员给予开单费、临床促销费、宣传费、劳务费、统方费等费用。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六、不为医院相关人员报销电话费、娱乐费、差旅费、餐费等应由本人支付的各种费用。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七、不组织甲方相关人员参加国内外旅游、座谈会、学术会等活动。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八、不向甲方相关人员赠送各种实物及有价证券。</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九、不派工作人员到医院临床科室进行药品、医用设备、医用耗材的广告宣传。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十、不以任何理由向医院及其相关人员进行商业贿赂。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十一、如违反上述约定，医院有权单方终止现有购销关系，若违反承诺条款，公司承诺：三年内无权参加医院所有的采购活动。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十二、违反上述约定，应向医院支付违约金贰万元，医院可直接在双方购销款中扣除。</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承诺公司：（盖章）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承诺代表：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承诺时间：2023年   月   日</w:t>
      </w:r>
    </w:p>
    <w:p>
      <w:pPr>
        <w:rPr>
          <w:rFonts w:ascii="仿宋_GB2312" w:hAnsi="仿宋" w:eastAsia="仿宋_GB2312" w:cs="仿宋"/>
          <w:sz w:val="32"/>
          <w:szCs w:val="32"/>
        </w:rPr>
      </w:pPr>
    </w:p>
    <w:sectPr>
      <w:headerReference r:id="rId3" w:type="default"/>
      <w:footerReference r:id="rId4" w:type="default"/>
      <w:pgSz w:w="11906" w:h="16838"/>
      <w:pgMar w:top="1440" w:right="1800" w:bottom="11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30A49"/>
    <w:multiLevelType w:val="singleLevel"/>
    <w:tmpl w:val="80630A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ZDAxYjUyNDFmMjRlZjYzMGE3N2E4YjU4ZTk3ZmQifQ=="/>
  </w:docVars>
  <w:rsids>
    <w:rsidRoot w:val="00E23A84"/>
    <w:rsid w:val="000208EF"/>
    <w:rsid w:val="000705CE"/>
    <w:rsid w:val="00140F75"/>
    <w:rsid w:val="00210EDD"/>
    <w:rsid w:val="00246BF1"/>
    <w:rsid w:val="00262E77"/>
    <w:rsid w:val="002A7721"/>
    <w:rsid w:val="002B44B2"/>
    <w:rsid w:val="003D6656"/>
    <w:rsid w:val="003E72B8"/>
    <w:rsid w:val="003F60CE"/>
    <w:rsid w:val="004D1D82"/>
    <w:rsid w:val="004E2285"/>
    <w:rsid w:val="00506381"/>
    <w:rsid w:val="00546C81"/>
    <w:rsid w:val="005501B1"/>
    <w:rsid w:val="0059547D"/>
    <w:rsid w:val="006025BE"/>
    <w:rsid w:val="00747DBA"/>
    <w:rsid w:val="00825C30"/>
    <w:rsid w:val="008B771B"/>
    <w:rsid w:val="00A114A5"/>
    <w:rsid w:val="00A52886"/>
    <w:rsid w:val="00A52983"/>
    <w:rsid w:val="00A75EB4"/>
    <w:rsid w:val="00A86A8D"/>
    <w:rsid w:val="00AB3E41"/>
    <w:rsid w:val="00AB4DB7"/>
    <w:rsid w:val="00AD3873"/>
    <w:rsid w:val="00AE28B9"/>
    <w:rsid w:val="00B1344A"/>
    <w:rsid w:val="00B85B15"/>
    <w:rsid w:val="00C2162C"/>
    <w:rsid w:val="00CC3293"/>
    <w:rsid w:val="00D52461"/>
    <w:rsid w:val="00D63D50"/>
    <w:rsid w:val="00D81BB8"/>
    <w:rsid w:val="00DA55BB"/>
    <w:rsid w:val="00DB3141"/>
    <w:rsid w:val="00E23A84"/>
    <w:rsid w:val="00E24C95"/>
    <w:rsid w:val="00E56E7F"/>
    <w:rsid w:val="00E72A07"/>
    <w:rsid w:val="00EB14A6"/>
    <w:rsid w:val="00F279EA"/>
    <w:rsid w:val="00F807CC"/>
    <w:rsid w:val="00F87F9B"/>
    <w:rsid w:val="00FC0873"/>
    <w:rsid w:val="00FC6D87"/>
    <w:rsid w:val="00FF57AF"/>
    <w:rsid w:val="01095AB4"/>
    <w:rsid w:val="013013BE"/>
    <w:rsid w:val="01F95B36"/>
    <w:rsid w:val="02AE1C00"/>
    <w:rsid w:val="034F3E96"/>
    <w:rsid w:val="03F9792E"/>
    <w:rsid w:val="0461090A"/>
    <w:rsid w:val="05286E1E"/>
    <w:rsid w:val="053733DB"/>
    <w:rsid w:val="06BF7783"/>
    <w:rsid w:val="074365A4"/>
    <w:rsid w:val="07AB211C"/>
    <w:rsid w:val="08FC4B7A"/>
    <w:rsid w:val="09A65AD7"/>
    <w:rsid w:val="09E20F21"/>
    <w:rsid w:val="0BE71026"/>
    <w:rsid w:val="0C9B0D69"/>
    <w:rsid w:val="0D2B3589"/>
    <w:rsid w:val="0D375AD6"/>
    <w:rsid w:val="0D716DC5"/>
    <w:rsid w:val="0E294212"/>
    <w:rsid w:val="0F780614"/>
    <w:rsid w:val="0FC34B5D"/>
    <w:rsid w:val="101A5768"/>
    <w:rsid w:val="116779EF"/>
    <w:rsid w:val="123F4757"/>
    <w:rsid w:val="13315E4D"/>
    <w:rsid w:val="14F4175F"/>
    <w:rsid w:val="15013B93"/>
    <w:rsid w:val="151C7E6B"/>
    <w:rsid w:val="167F4E7B"/>
    <w:rsid w:val="1695057A"/>
    <w:rsid w:val="17BD2F39"/>
    <w:rsid w:val="1828718F"/>
    <w:rsid w:val="18827FDA"/>
    <w:rsid w:val="194660D8"/>
    <w:rsid w:val="1A144440"/>
    <w:rsid w:val="1A7D2A75"/>
    <w:rsid w:val="1BA56903"/>
    <w:rsid w:val="1D8066AD"/>
    <w:rsid w:val="1D8138BE"/>
    <w:rsid w:val="1F7C464D"/>
    <w:rsid w:val="1FCE29B5"/>
    <w:rsid w:val="2038285F"/>
    <w:rsid w:val="227004BB"/>
    <w:rsid w:val="22877591"/>
    <w:rsid w:val="22A11240"/>
    <w:rsid w:val="22D74EB7"/>
    <w:rsid w:val="23183E4B"/>
    <w:rsid w:val="23925499"/>
    <w:rsid w:val="23C454F2"/>
    <w:rsid w:val="240D6530"/>
    <w:rsid w:val="249A2F6D"/>
    <w:rsid w:val="250100E3"/>
    <w:rsid w:val="25105100"/>
    <w:rsid w:val="25A55172"/>
    <w:rsid w:val="25BC28CC"/>
    <w:rsid w:val="25F91DDB"/>
    <w:rsid w:val="26437496"/>
    <w:rsid w:val="265D08F7"/>
    <w:rsid w:val="26743F4F"/>
    <w:rsid w:val="2702368A"/>
    <w:rsid w:val="27772691"/>
    <w:rsid w:val="280F6C3A"/>
    <w:rsid w:val="296D491F"/>
    <w:rsid w:val="29BC4C85"/>
    <w:rsid w:val="29C25904"/>
    <w:rsid w:val="29DE1C17"/>
    <w:rsid w:val="2A0841AB"/>
    <w:rsid w:val="2AF21535"/>
    <w:rsid w:val="2B1A05C3"/>
    <w:rsid w:val="2B9022C4"/>
    <w:rsid w:val="2C19407B"/>
    <w:rsid w:val="2C2771E3"/>
    <w:rsid w:val="2C465509"/>
    <w:rsid w:val="2C6676DE"/>
    <w:rsid w:val="2CB10BAC"/>
    <w:rsid w:val="2CB2075F"/>
    <w:rsid w:val="2CD71115"/>
    <w:rsid w:val="2CF81311"/>
    <w:rsid w:val="2D453AD8"/>
    <w:rsid w:val="2DDF4884"/>
    <w:rsid w:val="2F4176FD"/>
    <w:rsid w:val="2F8C4439"/>
    <w:rsid w:val="302738E5"/>
    <w:rsid w:val="30313232"/>
    <w:rsid w:val="303F6E5C"/>
    <w:rsid w:val="304A1650"/>
    <w:rsid w:val="306C463D"/>
    <w:rsid w:val="31136201"/>
    <w:rsid w:val="312D71B4"/>
    <w:rsid w:val="31615285"/>
    <w:rsid w:val="31973569"/>
    <w:rsid w:val="31FF667D"/>
    <w:rsid w:val="32326987"/>
    <w:rsid w:val="32B44520"/>
    <w:rsid w:val="32E42B8F"/>
    <w:rsid w:val="32E63895"/>
    <w:rsid w:val="340F7661"/>
    <w:rsid w:val="347C70E6"/>
    <w:rsid w:val="34FC6EDC"/>
    <w:rsid w:val="35E97D17"/>
    <w:rsid w:val="36005428"/>
    <w:rsid w:val="375A5B19"/>
    <w:rsid w:val="38854D38"/>
    <w:rsid w:val="38EA21D0"/>
    <w:rsid w:val="38F913DB"/>
    <w:rsid w:val="3935470B"/>
    <w:rsid w:val="39856857"/>
    <w:rsid w:val="39F06486"/>
    <w:rsid w:val="3A7603A1"/>
    <w:rsid w:val="3B213331"/>
    <w:rsid w:val="3B294A07"/>
    <w:rsid w:val="3BF87833"/>
    <w:rsid w:val="3C7B117E"/>
    <w:rsid w:val="3C881A78"/>
    <w:rsid w:val="3CD47C58"/>
    <w:rsid w:val="3D274618"/>
    <w:rsid w:val="3D700275"/>
    <w:rsid w:val="3DDB1F66"/>
    <w:rsid w:val="3E5E4035"/>
    <w:rsid w:val="418A534F"/>
    <w:rsid w:val="42BF62E1"/>
    <w:rsid w:val="42CD6E11"/>
    <w:rsid w:val="42D86F37"/>
    <w:rsid w:val="434767BD"/>
    <w:rsid w:val="44355C88"/>
    <w:rsid w:val="44964FBE"/>
    <w:rsid w:val="44B82BF0"/>
    <w:rsid w:val="44C407BF"/>
    <w:rsid w:val="453C0257"/>
    <w:rsid w:val="4583346C"/>
    <w:rsid w:val="46127DB8"/>
    <w:rsid w:val="47075B0A"/>
    <w:rsid w:val="47BE40EB"/>
    <w:rsid w:val="48462826"/>
    <w:rsid w:val="49A677C0"/>
    <w:rsid w:val="49F0723A"/>
    <w:rsid w:val="4B207100"/>
    <w:rsid w:val="4B6B7B43"/>
    <w:rsid w:val="4B935C9C"/>
    <w:rsid w:val="4BB2654F"/>
    <w:rsid w:val="4BDC6DB5"/>
    <w:rsid w:val="4C144EBF"/>
    <w:rsid w:val="4DD62989"/>
    <w:rsid w:val="4F2C6982"/>
    <w:rsid w:val="4F380C76"/>
    <w:rsid w:val="4F6210B1"/>
    <w:rsid w:val="4F7C5315"/>
    <w:rsid w:val="50453A9E"/>
    <w:rsid w:val="507D45DA"/>
    <w:rsid w:val="50CA11F1"/>
    <w:rsid w:val="517715A3"/>
    <w:rsid w:val="51CC3F5B"/>
    <w:rsid w:val="52244F43"/>
    <w:rsid w:val="52FE0DA7"/>
    <w:rsid w:val="54185595"/>
    <w:rsid w:val="542338D9"/>
    <w:rsid w:val="54546F09"/>
    <w:rsid w:val="54720A00"/>
    <w:rsid w:val="549332C4"/>
    <w:rsid w:val="55C85B5B"/>
    <w:rsid w:val="563809FD"/>
    <w:rsid w:val="56B21B80"/>
    <w:rsid w:val="56EE4FB8"/>
    <w:rsid w:val="56F80F1A"/>
    <w:rsid w:val="57FC6B6F"/>
    <w:rsid w:val="58BA3FFF"/>
    <w:rsid w:val="598D4786"/>
    <w:rsid w:val="59A457F3"/>
    <w:rsid w:val="59AC05EE"/>
    <w:rsid w:val="5ADC6D65"/>
    <w:rsid w:val="5AF4096F"/>
    <w:rsid w:val="5B5D41FD"/>
    <w:rsid w:val="5B80444E"/>
    <w:rsid w:val="5BC63719"/>
    <w:rsid w:val="5C343C98"/>
    <w:rsid w:val="5C817F79"/>
    <w:rsid w:val="5CB129E1"/>
    <w:rsid w:val="5CFC14E0"/>
    <w:rsid w:val="5E854E37"/>
    <w:rsid w:val="5EF512CA"/>
    <w:rsid w:val="5F1315D8"/>
    <w:rsid w:val="5FBF7C92"/>
    <w:rsid w:val="604F084A"/>
    <w:rsid w:val="60E5216E"/>
    <w:rsid w:val="61106B8B"/>
    <w:rsid w:val="623065F6"/>
    <w:rsid w:val="624125B1"/>
    <w:rsid w:val="62DC341C"/>
    <w:rsid w:val="638621FB"/>
    <w:rsid w:val="64260FE1"/>
    <w:rsid w:val="648658E1"/>
    <w:rsid w:val="64BE210B"/>
    <w:rsid w:val="650926D4"/>
    <w:rsid w:val="660073E0"/>
    <w:rsid w:val="66155094"/>
    <w:rsid w:val="6646463A"/>
    <w:rsid w:val="664F2AAD"/>
    <w:rsid w:val="66663506"/>
    <w:rsid w:val="66B250C3"/>
    <w:rsid w:val="66E22983"/>
    <w:rsid w:val="675D650E"/>
    <w:rsid w:val="67FE53D5"/>
    <w:rsid w:val="681A6A6C"/>
    <w:rsid w:val="685A4D99"/>
    <w:rsid w:val="68A3390F"/>
    <w:rsid w:val="696059E5"/>
    <w:rsid w:val="699C369E"/>
    <w:rsid w:val="69F84196"/>
    <w:rsid w:val="6AAE774D"/>
    <w:rsid w:val="6B436613"/>
    <w:rsid w:val="6B531995"/>
    <w:rsid w:val="6BA248EE"/>
    <w:rsid w:val="6CEB4FB4"/>
    <w:rsid w:val="6D211BE5"/>
    <w:rsid w:val="6D4506B8"/>
    <w:rsid w:val="6D8856A7"/>
    <w:rsid w:val="6E051C95"/>
    <w:rsid w:val="6E452A6F"/>
    <w:rsid w:val="6EB175BF"/>
    <w:rsid w:val="6F3A4A12"/>
    <w:rsid w:val="6F5C1F2A"/>
    <w:rsid w:val="6F697AE3"/>
    <w:rsid w:val="724D5D72"/>
    <w:rsid w:val="72A5624B"/>
    <w:rsid w:val="732F5141"/>
    <w:rsid w:val="73566C7E"/>
    <w:rsid w:val="73695384"/>
    <w:rsid w:val="73F80EC5"/>
    <w:rsid w:val="742F29A8"/>
    <w:rsid w:val="74AA0360"/>
    <w:rsid w:val="74DE4F54"/>
    <w:rsid w:val="74FC342F"/>
    <w:rsid w:val="75B02D41"/>
    <w:rsid w:val="75CA3CB7"/>
    <w:rsid w:val="76C15B40"/>
    <w:rsid w:val="76CB74FB"/>
    <w:rsid w:val="76D35A76"/>
    <w:rsid w:val="77022B86"/>
    <w:rsid w:val="78157B01"/>
    <w:rsid w:val="79362986"/>
    <w:rsid w:val="79A15412"/>
    <w:rsid w:val="7C1B7957"/>
    <w:rsid w:val="7CD04058"/>
    <w:rsid w:val="7DE70F0E"/>
    <w:rsid w:val="7DF740F1"/>
    <w:rsid w:val="7E62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Date"/>
    <w:basedOn w:val="1"/>
    <w:next w:val="1"/>
    <w:link w:val="17"/>
    <w:uiPriority w:val="0"/>
    <w:pPr>
      <w:ind w:left="100" w:leftChars="25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11"/>
    <w:basedOn w:val="10"/>
    <w:qFormat/>
    <w:uiPriority w:val="0"/>
    <w:rPr>
      <w:rFonts w:hint="eastAsia" w:ascii="仿宋" w:hAnsi="仿宋" w:eastAsia="仿宋" w:cs="仿宋"/>
      <w:color w:val="000000"/>
      <w:sz w:val="24"/>
      <w:szCs w:val="24"/>
      <w:u w:val="none"/>
    </w:rPr>
  </w:style>
  <w:style w:type="character" w:customStyle="1" w:styleId="14">
    <w:name w:val="font31"/>
    <w:basedOn w:val="10"/>
    <w:uiPriority w:val="0"/>
    <w:rPr>
      <w:rFonts w:hint="eastAsia" w:ascii="宋体" w:hAnsi="宋体" w:eastAsia="宋体" w:cs="宋体"/>
      <w:b/>
      <w:bCs/>
      <w:color w:val="000000"/>
      <w:sz w:val="22"/>
      <w:szCs w:val="22"/>
      <w:u w:val="none"/>
    </w:rPr>
  </w:style>
  <w:style w:type="character" w:customStyle="1" w:styleId="15">
    <w:name w:val="font41"/>
    <w:basedOn w:val="10"/>
    <w:qFormat/>
    <w:uiPriority w:val="0"/>
    <w:rPr>
      <w:rFonts w:hint="default" w:ascii="Tahoma" w:hAnsi="Tahoma" w:eastAsia="Tahoma" w:cs="Tahoma"/>
      <w:b/>
      <w:bCs/>
      <w:color w:val="000000"/>
      <w:sz w:val="22"/>
      <w:szCs w:val="22"/>
      <w:u w:val="none"/>
    </w:rPr>
  </w:style>
  <w:style w:type="character" w:customStyle="1" w:styleId="16">
    <w:name w:val="Unresolved Mention"/>
    <w:basedOn w:val="10"/>
    <w:semiHidden/>
    <w:unhideWhenUsed/>
    <w:uiPriority w:val="99"/>
    <w:rPr>
      <w:color w:val="605E5C"/>
      <w:shd w:val="clear" w:color="auto" w:fill="E1DFDD"/>
    </w:rPr>
  </w:style>
  <w:style w:type="character" w:customStyle="1" w:styleId="17">
    <w:name w:val="日期 字符"/>
    <w:basedOn w:val="10"/>
    <w:link w:val="4"/>
    <w:uiPriority w:val="0"/>
    <w:rPr>
      <w:rFonts w:asciiTheme="minorHAnsi" w:hAnsiTheme="minorHAnsi" w:eastAsiaTheme="minorEastAsia" w:cstheme="minorBidi"/>
      <w:kern w:val="2"/>
      <w:sz w:val="21"/>
      <w:szCs w:val="24"/>
    </w:rPr>
  </w:style>
  <w:style w:type="character" w:customStyle="1" w:styleId="18">
    <w:name w:val="标题 1 字符"/>
    <w:basedOn w:val="10"/>
    <w:link w:val="2"/>
    <w:uiPriority w:val="0"/>
    <w:rPr>
      <w:rFonts w:ascii="宋体" w:hAnsi="宋体"/>
      <w:b/>
      <w:bCs/>
      <w:kern w:val="44"/>
      <w:sz w:val="48"/>
      <w:szCs w:val="48"/>
    </w:rPr>
  </w:style>
  <w:style w:type="paragraph" w:customStyle="1" w:styleId="1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0">
    <w:name w:val="GW-正文"/>
    <w:basedOn w:val="1"/>
    <w:qFormat/>
    <w:uiPriority w:val="0"/>
    <w:pPr>
      <w:spacing w:line="360" w:lineRule="auto"/>
      <w:ind w:firstLine="200" w:firstLineChars="200"/>
    </w:pPr>
    <w:rPr>
      <w:rFonts w:ascii="仿宋_GB2312" w:hAnsi="仿宋_GB2312"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393</Words>
  <Characters>2245</Characters>
  <Lines>18</Lines>
  <Paragraphs>5</Paragraphs>
  <TotalTime>4</TotalTime>
  <ScaleCrop>false</ScaleCrop>
  <LinksUpToDate>false</LinksUpToDate>
  <CharactersWithSpaces>2633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胜哥哥</cp:lastModifiedBy>
  <cp:lastPrinted>2022-09-29T08:47:00Z</cp:lastPrinted>
  <dcterms:modified xsi:type="dcterms:W3CDTF">2023-02-15T05:48:17Z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755F3E8EC15D412194D7F917D27098DE</vt:lpwstr>
  </property>
</Properties>
</file>