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jc w:val="center"/>
        <w:rPr>
          <w:rFonts w:ascii="方正小标宋简体" w:eastAsia="方正小标宋简体"/>
          <w:sz w:val="36"/>
          <w:szCs w:val="36"/>
        </w:rPr>
      </w:pPr>
      <w:r>
        <w:rPr>
          <w:rFonts w:hint="eastAsia" w:ascii="方正小标宋简体" w:eastAsia="方正小标宋简体"/>
          <w:sz w:val="36"/>
          <w:szCs w:val="36"/>
        </w:rPr>
        <w:t>资阳市第一人民医院</w:t>
      </w:r>
    </w:p>
    <w:p>
      <w:pPr>
        <w:pageBreakBefore w:val="0"/>
        <w:kinsoku/>
        <w:wordWrap/>
        <w:overflowPunct/>
        <w:topLinePunct w:val="0"/>
        <w:bidi w:val="0"/>
        <w:spacing w:line="240" w:lineRule="auto"/>
        <w:jc w:val="center"/>
        <w:rPr>
          <w:rFonts w:ascii="方正小标宋简体" w:eastAsia="方正小标宋简体"/>
          <w:spacing w:val="0"/>
          <w:sz w:val="36"/>
          <w:szCs w:val="36"/>
        </w:rPr>
      </w:pPr>
      <w:r>
        <w:rPr>
          <w:rFonts w:hint="eastAsia" w:ascii="方正小标宋简体" w:eastAsia="方正小标宋简体"/>
          <w:spacing w:val="0"/>
          <w:sz w:val="36"/>
          <w:szCs w:val="36"/>
          <w:lang w:eastAsia="zh-CN"/>
        </w:rPr>
        <w:t>台式灭菌器</w:t>
      </w:r>
      <w:r>
        <w:rPr>
          <w:rFonts w:hint="eastAsia" w:ascii="方正小标宋简体" w:eastAsia="方正小标宋简体"/>
          <w:spacing w:val="0"/>
          <w:sz w:val="36"/>
          <w:szCs w:val="36"/>
        </w:rPr>
        <w:t>等医用</w:t>
      </w:r>
      <w:r>
        <w:rPr>
          <w:rFonts w:hint="eastAsia" w:ascii="方正小标宋简体" w:eastAsia="方正小标宋简体"/>
          <w:spacing w:val="0"/>
          <w:sz w:val="36"/>
          <w:szCs w:val="36"/>
          <w:lang w:eastAsia="zh-CN"/>
        </w:rPr>
        <w:t>设备</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w:t>
      </w:r>
      <w:r>
        <w:rPr>
          <w:rFonts w:hint="eastAsia" w:ascii="方正小标宋简体" w:eastAsia="方正小标宋简体"/>
          <w:spacing w:val="0"/>
          <w:sz w:val="36"/>
          <w:szCs w:val="36"/>
          <w:lang w:val="en-US" w:eastAsia="zh-CN"/>
        </w:rPr>
        <w:t xml:space="preserve"> （第二次） </w:t>
      </w:r>
      <w:r>
        <w:rPr>
          <w:rFonts w:hint="eastAsia" w:ascii="方正小标宋简体" w:eastAsia="方正小标宋简体"/>
          <w:spacing w:val="0"/>
          <w:sz w:val="36"/>
          <w:szCs w:val="36"/>
          <w:lang w:eastAsia="zh-CN"/>
        </w:rPr>
        <w:t>公开招标的采购</w:t>
      </w:r>
      <w:r>
        <w:rPr>
          <w:rFonts w:hint="eastAsia" w:ascii="方正小标宋简体" w:eastAsia="方正小标宋简体"/>
          <w:spacing w:val="0"/>
          <w:sz w:val="36"/>
          <w:szCs w:val="36"/>
        </w:rPr>
        <w:t>公告</w:t>
      </w:r>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pageBreakBefore w:val="0"/>
              <w:kinsoku/>
              <w:wordWrap/>
              <w:overflowPunct/>
              <w:topLinePunct w:val="0"/>
              <w:bidi w:val="0"/>
              <w:spacing w:line="240" w:lineRule="auto"/>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台式灭菌器</w:t>
            </w:r>
            <w:r>
              <w:rPr>
                <w:rFonts w:hint="eastAsia" w:ascii="仿宋_GB2312" w:eastAsia="仿宋_GB2312"/>
                <w:sz w:val="24"/>
                <w:szCs w:val="24"/>
              </w:rPr>
              <w:t>等医用</w:t>
            </w:r>
            <w:r>
              <w:rPr>
                <w:rFonts w:hint="eastAsia" w:ascii="仿宋_GB2312" w:eastAsia="仿宋_GB2312"/>
                <w:sz w:val="24"/>
                <w:szCs w:val="24"/>
                <w:lang w:eastAsia="zh-CN"/>
              </w:rPr>
              <w:t>设备</w:t>
            </w:r>
            <w:r>
              <w:rPr>
                <w:rFonts w:hint="eastAsia" w:ascii="仿宋_GB2312" w:eastAsia="仿宋_GB2312"/>
                <w:sz w:val="24"/>
                <w:szCs w:val="24"/>
              </w:rPr>
              <w:t>采购</w:t>
            </w:r>
            <w:r>
              <w:rPr>
                <w:rFonts w:hint="eastAsia" w:ascii="仿宋_GB2312" w:eastAsia="仿宋_GB2312"/>
                <w:sz w:val="24"/>
                <w:szCs w:val="24"/>
                <w:lang w:eastAsia="zh-CN"/>
              </w:rPr>
              <w:t>项目（第二次</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pageBreakBefore w:val="0"/>
              <w:kinsoku/>
              <w:wordWrap/>
              <w:overflowPunct/>
              <w:topLinePunct w:val="0"/>
              <w:bidi w:val="0"/>
              <w:spacing w:line="240" w:lineRule="auto"/>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2019/7/16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pageBreakBefore w:val="0"/>
              <w:kinsoku/>
              <w:wordWrap/>
              <w:overflowPunct/>
              <w:topLinePunct w:val="0"/>
              <w:bidi w:val="0"/>
              <w:spacing w:line="240" w:lineRule="auto"/>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2019/7/16-2019/7/22（5个工作日）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pageBreakBefore w:val="0"/>
              <w:kinsoku/>
              <w:wordWrap/>
              <w:overflowPunct/>
              <w:topLinePunct w:val="0"/>
              <w:bidi w:val="0"/>
              <w:spacing w:line="240" w:lineRule="auto"/>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pageBreakBefore w:val="0"/>
              <w:kinsoku/>
              <w:wordWrap/>
              <w:overflowPunct/>
              <w:topLinePunct w:val="0"/>
              <w:bidi w:val="0"/>
              <w:spacing w:line="240" w:lineRule="auto"/>
              <w:rPr>
                <w:rFonts w:hint="eastAsia" w:ascii="仿宋_GB2312" w:eastAsia="仿宋_GB2312"/>
                <w:sz w:val="24"/>
                <w:szCs w:val="24"/>
                <w:lang w:val="en-US" w:eastAsia="zh-CN"/>
              </w:rPr>
            </w:pPr>
            <w:r>
              <w:rPr>
                <w:rFonts w:hint="eastAsia" w:ascii="仿宋_GB2312" w:eastAsia="仿宋_GB2312"/>
                <w:sz w:val="24"/>
                <w:szCs w:val="24"/>
                <w:lang w:val="en-US" w:eastAsia="zh-CN"/>
              </w:rPr>
              <w:t>2019/7/24 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吴</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备注</w:t>
            </w:r>
          </w:p>
        </w:tc>
        <w:tc>
          <w:tcPr>
            <w:tcW w:w="6684" w:type="dxa"/>
            <w:vAlign w:val="center"/>
          </w:tcPr>
          <w:p>
            <w:pPr>
              <w:pageBreakBefore w:val="0"/>
              <w:kinsoku/>
              <w:wordWrap/>
              <w:overflowPunct/>
              <w:topLinePunct w:val="0"/>
              <w:bidi w:val="0"/>
              <w:spacing w:line="240" w:lineRule="auto"/>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sz w:val="24"/>
                <w:szCs w:val="24"/>
                <w:lang w:eastAsia="zh-CN"/>
              </w:rPr>
              <w:t>台式灭菌器</w:t>
            </w:r>
            <w:r>
              <w:rPr>
                <w:rFonts w:hint="eastAsia" w:ascii="仿宋_GB2312" w:eastAsia="仿宋_GB2312"/>
                <w:sz w:val="24"/>
                <w:szCs w:val="24"/>
              </w:rPr>
              <w:t>等医用</w:t>
            </w:r>
            <w:r>
              <w:rPr>
                <w:rFonts w:hint="eastAsia" w:ascii="仿宋_GB2312" w:eastAsia="仿宋_GB2312"/>
                <w:sz w:val="24"/>
                <w:szCs w:val="24"/>
                <w:lang w:eastAsia="zh-CN"/>
              </w:rPr>
              <w:t>设备</w:t>
            </w:r>
            <w:r>
              <w:rPr>
                <w:rFonts w:hint="eastAsia" w:ascii="仿宋_GB2312" w:eastAsia="仿宋_GB2312"/>
                <w:sz w:val="24"/>
                <w:szCs w:val="24"/>
              </w:rPr>
              <w:t>采购</w:t>
            </w:r>
            <w:r>
              <w:rPr>
                <w:rFonts w:hint="eastAsia" w:ascii="仿宋_GB2312" w:eastAsia="仿宋_GB2312"/>
                <w:sz w:val="24"/>
                <w:szCs w:val="24"/>
                <w:lang w:eastAsia="zh-CN"/>
              </w:rPr>
              <w:t>项目（第二次）</w:t>
            </w:r>
            <w:r>
              <w:rPr>
                <w:rFonts w:hint="eastAsia" w:ascii="仿宋_GB2312" w:eastAsia="仿宋_GB2312"/>
                <w:sz w:val="24"/>
                <w:szCs w:val="24"/>
              </w:rPr>
              <w:t>报名表</w:t>
            </w:r>
          </w:p>
        </w:tc>
      </w:tr>
    </w:tbl>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台式灭菌器</w:t>
      </w:r>
      <w:r>
        <w:rPr>
          <w:rFonts w:hint="eastAsia" w:ascii="方正小标宋简体" w:hAnsi="方正小标宋简体" w:eastAsia="方正小标宋简体" w:cs="方正小标宋简体"/>
          <w:sz w:val="48"/>
          <w:szCs w:val="48"/>
        </w:rPr>
        <w:t>等医用</w:t>
      </w:r>
      <w:r>
        <w:rPr>
          <w:rFonts w:hint="eastAsia" w:ascii="方正小标宋简体" w:hAnsi="方正小标宋简体" w:eastAsia="方正小标宋简体" w:cs="方正小标宋简体"/>
          <w:sz w:val="48"/>
          <w:szCs w:val="48"/>
          <w:lang w:eastAsia="zh-CN"/>
        </w:rPr>
        <w:t>设备</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项目（第二次）</w:t>
      </w:r>
    </w:p>
    <w:p>
      <w:pPr>
        <w:pageBreakBefore w:val="0"/>
        <w:kinsoku/>
        <w:wordWrap/>
        <w:overflowPunct/>
        <w:topLinePunct w:val="0"/>
        <w:bidi w:val="0"/>
        <w:spacing w:line="240" w:lineRule="auto"/>
        <w:rPr>
          <w:rFonts w:hint="eastAsia" w:ascii="方正小标宋简体" w:hAnsi="方正小标宋简体" w:eastAsia="方正小标宋简体" w:cs="方正小标宋简体"/>
          <w:sz w:val="52"/>
          <w:szCs w:val="52"/>
        </w:rPr>
      </w:pPr>
    </w:p>
    <w:p>
      <w:pPr>
        <w:pageBreakBefore w:val="0"/>
        <w:tabs>
          <w:tab w:val="left" w:pos="2505"/>
          <w:tab w:val="center" w:pos="4204"/>
        </w:tabs>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p>
    <w:p>
      <w:pPr>
        <w:pageBreakBefore w:val="0"/>
        <w:tabs>
          <w:tab w:val="left" w:pos="2505"/>
          <w:tab w:val="center" w:pos="4204"/>
        </w:tabs>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pageBreakBefore w:val="0"/>
        <w:kinsoku/>
        <w:wordWrap/>
        <w:overflowPunct/>
        <w:topLinePunct w:val="0"/>
        <w:bidi w:val="0"/>
        <w:spacing w:line="240" w:lineRule="auto"/>
        <w:rPr>
          <w:rFonts w:hint="eastAsia" w:ascii="方正小标宋简体" w:hAnsi="方正小标宋简体" w:eastAsia="方正小标宋简体" w:cs="方正小标宋简体"/>
          <w:sz w:val="32"/>
          <w:szCs w:val="32"/>
        </w:rPr>
      </w:pP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rPr>
      </w:pPr>
      <w:bookmarkStart w:id="1" w:name="PO_采购人_1"/>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rPr>
      </w:pP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二O一九年七月</w:t>
      </w:r>
    </w:p>
    <w:p>
      <w:pPr>
        <w:pageBreakBefore w:val="0"/>
        <w:kinsoku/>
        <w:wordWrap/>
        <w:overflowPunct/>
        <w:topLinePunct w:val="0"/>
        <w:bidi w:val="0"/>
        <w:spacing w:line="240" w:lineRule="auto"/>
        <w:jc w:val="center"/>
        <w:rPr>
          <w:rFonts w:hint="eastAsia"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69210"/>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pPr>
          <w:bookmarkStart w:id="3" w:name="_Toc1031_WPSOffice_Type1"/>
          <w:r>
            <w:rPr>
              <w:rFonts w:ascii="宋体" w:hAnsi="宋体" w:eastAsia="宋体"/>
              <w:sz w:val="21"/>
            </w:rPr>
            <w:t>目录</w:t>
          </w:r>
        </w:p>
        <w:p>
          <w:pPr>
            <w:pStyle w:val="36"/>
            <w:tabs>
              <w:tab w:val="right" w:leader="dot" w:pos="8845"/>
            </w:tabs>
          </w:pPr>
          <w:r>
            <w:fldChar w:fldCharType="begin"/>
          </w:r>
          <w:r>
            <w:instrText xml:space="preserve"> HYPERLINK \l _Toc12725_WPSOffice_Level1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9210"/>
              <w:placeholder>
                <w:docPart w:val="{5b2b5cca-91a6-4068-b467-d1bac69cf41b}"/>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12725_WPSOffice_Level1Page"/>
          <w:r>
            <w:t>3</w:t>
          </w:r>
          <w:bookmarkEnd w:id="4"/>
          <w:r>
            <w:fldChar w:fldCharType="end"/>
          </w:r>
        </w:p>
        <w:p>
          <w:pPr>
            <w:pStyle w:val="36"/>
            <w:tabs>
              <w:tab w:val="right" w:leader="dot" w:pos="8845"/>
            </w:tabs>
          </w:pPr>
          <w:r>
            <w:fldChar w:fldCharType="begin"/>
          </w:r>
          <w:r>
            <w:instrText xml:space="preserve"> HYPERLINK \l _Toc1031_WPSOffice_Level1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9210"/>
              <w:placeholder>
                <w:docPart w:val="{5f924315-56d0-407e-baa1-f3a6e965ae01}"/>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1031_WPSOffice_Level1Page"/>
          <w:r>
            <w:t>4</w:t>
          </w:r>
          <w:bookmarkEnd w:id="5"/>
          <w:r>
            <w:fldChar w:fldCharType="end"/>
          </w:r>
        </w:p>
        <w:p>
          <w:pPr>
            <w:pStyle w:val="36"/>
            <w:tabs>
              <w:tab w:val="right" w:leader="dot" w:pos="8845"/>
            </w:tabs>
          </w:pPr>
          <w:r>
            <w:fldChar w:fldCharType="begin"/>
          </w:r>
          <w:r>
            <w:instrText xml:space="preserve"> HYPERLINK \l _Toc15281_WPSOffice_Level1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9210"/>
              <w:placeholder>
                <w:docPart w:val="{5b91ddea-7aa9-406b-af11-e9348238cdb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15281_WPSOffice_Level1Page"/>
          <w:r>
            <w:t>7</w:t>
          </w:r>
          <w:bookmarkEnd w:id="6"/>
          <w:r>
            <w:fldChar w:fldCharType="end"/>
          </w:r>
        </w:p>
        <w:p>
          <w:pPr>
            <w:pStyle w:val="36"/>
            <w:tabs>
              <w:tab w:val="right" w:leader="dot" w:pos="8845"/>
            </w:tabs>
          </w:pPr>
          <w:r>
            <w:fldChar w:fldCharType="begin"/>
          </w:r>
          <w:r>
            <w:instrText xml:space="preserve"> HYPERLINK \l _Toc28076_WPSOffice_Level1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9210"/>
              <w:placeholder>
                <w:docPart w:val="{1c7e58d6-ac4d-4034-a0b7-d2dc76f3898b}"/>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采购合同</w:t>
              </w:r>
            </w:sdtContent>
          </w:sdt>
          <w:r>
            <w:tab/>
          </w:r>
          <w:bookmarkStart w:id="7" w:name="_Toc28076_WPSOffice_Level1Page"/>
          <w:r>
            <w:t>9</w:t>
          </w:r>
          <w:bookmarkEnd w:id="7"/>
          <w:r>
            <w:fldChar w:fldCharType="end"/>
          </w:r>
        </w:p>
        <w:p>
          <w:pPr>
            <w:pStyle w:val="36"/>
            <w:tabs>
              <w:tab w:val="right" w:leader="dot" w:pos="8845"/>
            </w:tabs>
          </w:pPr>
          <w:r>
            <w:fldChar w:fldCharType="begin"/>
          </w:r>
          <w:r>
            <w:instrText xml:space="preserve"> HYPERLINK \l _Toc4802_WPSOffice_Level1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9210"/>
              <w:placeholder>
                <w:docPart w:val="{e83f85d5-0da9-43cb-a662-6eef0753cf11}"/>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8" w:name="_Toc4802_WPSOffice_Level1Page"/>
          <w:r>
            <w:t>17</w:t>
          </w:r>
          <w:bookmarkEnd w:id="8"/>
          <w:r>
            <w:fldChar w:fldCharType="end"/>
          </w:r>
        </w:p>
        <w:p>
          <w:pPr>
            <w:pStyle w:val="36"/>
            <w:tabs>
              <w:tab w:val="right" w:leader="dot" w:pos="8845"/>
            </w:tabs>
          </w:pPr>
          <w:r>
            <w:fldChar w:fldCharType="begin"/>
          </w:r>
          <w:r>
            <w:instrText xml:space="preserve"> HYPERLINK \l _Toc24734_WPSOffice_Level1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69210"/>
              <w:placeholder>
                <w:docPart w:val="{071fe655-5ee3-45ab-8dd5-52732b747a3a}"/>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9" w:name="_Toc24734_WPSOffice_Level1Page"/>
          <w:r>
            <w:t>18</w:t>
          </w:r>
          <w:bookmarkEnd w:id="9"/>
          <w:r>
            <w:fldChar w:fldCharType="end"/>
          </w:r>
        </w:p>
        <w:bookmarkEnd w:id="3"/>
        <w:p>
          <w:pPr>
            <w:pStyle w:val="36"/>
            <w:tabs>
              <w:tab w:val="right" w:leader="dot" w:pos="8845"/>
            </w:tabs>
          </w:pPr>
        </w:p>
      </w:sdtContent>
    </w:sdt>
    <w:p>
      <w:pPr>
        <w:pStyle w:val="35"/>
        <w:pageBreakBefore w:val="0"/>
        <w:kinsoku/>
        <w:wordWrap/>
        <w:overflowPunct/>
        <w:topLinePunct w:val="0"/>
        <w:bidi w:val="0"/>
        <w:spacing w:line="240" w:lineRule="auto"/>
        <w:rPr>
          <w:rFonts w:hint="eastAsia"/>
        </w:rPr>
      </w:pPr>
      <w:r>
        <w:rPr>
          <w:rFonts w:hint="eastAsia"/>
        </w:rPr>
        <w:br w:type="page"/>
      </w:r>
    </w:p>
    <w:p>
      <w:pPr>
        <w:pStyle w:val="35"/>
        <w:pageBreakBefore w:val="0"/>
        <w:kinsoku/>
        <w:wordWrap/>
        <w:overflowPunct/>
        <w:topLinePunct w:val="0"/>
        <w:bidi w:val="0"/>
        <w:spacing w:line="240" w:lineRule="auto"/>
        <w:rPr>
          <w:rFonts w:hint="eastAsia"/>
        </w:rPr>
      </w:pPr>
      <w:bookmarkStart w:id="10" w:name="_Toc12725_WPSOffice_Level1"/>
      <w:r>
        <w:rPr>
          <w:rFonts w:hint="eastAsia"/>
        </w:rPr>
        <w:t>第一章  投标邀请</w:t>
      </w:r>
      <w:bookmarkEnd w:id="10"/>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bookmarkStart w:id="11"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after="0"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1"/>
    <w:p>
      <w:pPr>
        <w:pageBreakBefore w:val="0"/>
        <w:widowControl w:val="0"/>
        <w:kinsoku/>
        <w:wordWrap/>
        <w:overflowPunct/>
        <w:topLinePunct w:val="0"/>
        <w:autoSpaceDE/>
        <w:autoSpaceDN/>
        <w:bidi w:val="0"/>
        <w:adjustRightInd/>
        <w:snapToGrid/>
        <w:spacing w:after="0"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after="0"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after="0" w:line="240" w:lineRule="auto"/>
        <w:ind w:firstLine="630"/>
        <w:textAlignment w:val="auto"/>
        <w:rPr>
          <w:rFonts w:ascii="黑体" w:hAnsi="宋体" w:eastAsia="黑体"/>
          <w:sz w:val="24"/>
          <w:szCs w:val="24"/>
        </w:rPr>
      </w:pPr>
      <w:r>
        <w:rPr>
          <w:rFonts w:hint="eastAsia" w:ascii="黑体" w:hAnsi="宋体" w:eastAsia="黑体"/>
          <w:sz w:val="24"/>
          <w:szCs w:val="24"/>
        </w:rPr>
        <w:t>三、开标时间</w:t>
      </w:r>
      <w:r>
        <w:rPr>
          <w:rFonts w:hint="eastAsia" w:ascii="黑体" w:hAnsi="宋体" w:eastAsia="黑体"/>
          <w:sz w:val="24"/>
          <w:szCs w:val="24"/>
          <w:lang w:eastAsia="zh-CN"/>
        </w:rPr>
        <w:t>、地点</w:t>
      </w:r>
      <w:r>
        <w:rPr>
          <w:rFonts w:hint="eastAsia" w:ascii="黑体" w:hAnsi="宋体" w:eastAsia="黑体"/>
          <w:sz w:val="24"/>
          <w:szCs w:val="24"/>
        </w:rPr>
        <w:t>及提供资料</w:t>
      </w:r>
    </w:p>
    <w:p>
      <w:pPr>
        <w:pageBreakBefore w:val="0"/>
        <w:widowControl w:val="0"/>
        <w:kinsoku/>
        <w:wordWrap/>
        <w:overflowPunct/>
        <w:topLinePunct w:val="0"/>
        <w:autoSpaceDE/>
        <w:autoSpaceDN/>
        <w:bidi w:val="0"/>
        <w:adjustRightInd/>
        <w:snapToGrid/>
        <w:spacing w:after="0"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lang w:val="en-US" w:eastAsia="zh-CN"/>
        </w:rPr>
        <w:t>开标时间：2019年7月24</w:t>
      </w:r>
      <w:bookmarkStart w:id="70" w:name="_GoBack"/>
      <w:bookmarkEnd w:id="70"/>
      <w:r>
        <w:rPr>
          <w:rFonts w:hint="eastAsia" w:ascii="仿宋_GB2312" w:hAnsi="宋体" w:eastAsia="仿宋_GB2312"/>
          <w:sz w:val="24"/>
          <w:szCs w:val="24"/>
          <w:lang w:val="en-US" w:eastAsia="zh-CN"/>
        </w:rPr>
        <w:t>日13:30，开标地点：</w:t>
      </w:r>
      <w:r>
        <w:rPr>
          <w:rFonts w:hint="eastAsia" w:ascii="仿宋_GB2312" w:eastAsia="仿宋_GB2312"/>
          <w:sz w:val="24"/>
          <w:szCs w:val="24"/>
        </w:rPr>
        <w:t>资阳市第一人民医院（四川省资阳市仁德西路66号辅助办公楼5楼</w:t>
      </w:r>
      <w:r>
        <w:rPr>
          <w:rFonts w:hint="eastAsia" w:ascii="仿宋_GB2312" w:eastAsia="仿宋_GB2312"/>
          <w:sz w:val="24"/>
          <w:szCs w:val="24"/>
          <w:lang w:eastAsia="zh-CN"/>
        </w:rPr>
        <w:t>会议室</w:t>
      </w:r>
      <w:r>
        <w:rPr>
          <w:rFonts w:hint="eastAsia" w:ascii="仿宋_GB2312" w:eastAsia="仿宋_GB2312"/>
          <w:sz w:val="24"/>
          <w:szCs w:val="24"/>
        </w:rPr>
        <w:t>）</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after="0"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4"/>
          <w:szCs w:val="24"/>
        </w:rPr>
      </w:pPr>
      <w:r>
        <w:rPr>
          <w:rFonts w:hint="eastAsia" w:ascii="仿宋_GB2312" w:hAnsi="宋体" w:eastAsia="仿宋_GB2312"/>
          <w:sz w:val="24"/>
          <w:szCs w:val="24"/>
        </w:rPr>
        <w:br w:type="page"/>
      </w:r>
    </w:p>
    <w:p>
      <w:pPr>
        <w:pStyle w:val="35"/>
        <w:pageBreakBefore w:val="0"/>
        <w:widowControl w:val="0"/>
        <w:kinsoku/>
        <w:wordWrap/>
        <w:overflowPunct/>
        <w:topLinePunct w:val="0"/>
        <w:autoSpaceDE/>
        <w:autoSpaceDN/>
        <w:bidi w:val="0"/>
        <w:adjustRightInd/>
        <w:snapToGrid/>
        <w:spacing w:after="0" w:line="240" w:lineRule="auto"/>
        <w:textAlignment w:val="auto"/>
        <w:rPr>
          <w:rFonts w:hint="eastAsia"/>
        </w:rPr>
      </w:pPr>
      <w:bookmarkStart w:id="12" w:name="_Toc1031_WPSOffice_Level1"/>
      <w:r>
        <w:rPr>
          <w:rFonts w:hint="eastAsia"/>
          <w:lang w:eastAsia="zh-CN"/>
        </w:rPr>
        <w:t>第二章　</w:t>
      </w:r>
      <w:r>
        <w:rPr>
          <w:rFonts w:hint="eastAsia"/>
        </w:rPr>
        <w:t>采购要求</w:t>
      </w:r>
      <w:bookmarkEnd w:id="12"/>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sz w:val="24"/>
        </w:rPr>
      </w:pP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ascii="黑体" w:hAnsi="黑体" w:eastAsia="黑体"/>
          <w:b/>
          <w:sz w:val="24"/>
        </w:rPr>
      </w:pPr>
      <w:r>
        <w:rPr>
          <w:rFonts w:hint="eastAsia" w:ascii="黑体" w:hAnsi="黑体" w:eastAsia="黑体"/>
          <w:b/>
          <w:sz w:val="24"/>
        </w:rPr>
        <w:t>一、项目概述</w:t>
      </w:r>
    </w:p>
    <w:p>
      <w:pPr>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床单元消毒机</w:t>
      </w:r>
      <w:r>
        <w:rPr>
          <w:rFonts w:hint="eastAsia" w:ascii="楷体" w:hAnsi="楷体" w:eastAsia="楷体" w:cs="楷体"/>
          <w:b/>
          <w:bCs/>
          <w:color w:val="auto"/>
          <w:sz w:val="24"/>
        </w:rPr>
        <w:t>。</w:t>
      </w: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color w:val="auto"/>
          <w:sz w:val="24"/>
          <w:lang w:eastAsia="zh-CN"/>
        </w:rPr>
      </w:pPr>
      <w:r>
        <w:rPr>
          <w:rFonts w:hint="eastAsia" w:ascii="仿宋_GB2312" w:eastAsia="仿宋_GB2312"/>
          <w:sz w:val="24"/>
          <w:lang w:val="en-US" w:eastAsia="zh-CN"/>
        </w:rPr>
        <w:t>1包</w:t>
      </w:r>
      <w:r>
        <w:rPr>
          <w:rFonts w:hint="eastAsia" w:ascii="仿宋_GB2312" w:eastAsia="仿宋_GB2312"/>
          <w:color w:val="auto"/>
          <w:sz w:val="24"/>
        </w:rPr>
        <w:t>采购预算资金：</w:t>
      </w:r>
      <w:r>
        <w:rPr>
          <w:rFonts w:hint="eastAsia" w:ascii="仿宋_GB2312" w:eastAsia="仿宋_GB2312"/>
          <w:color w:val="auto"/>
          <w:sz w:val="24"/>
          <w:lang w:val="en-US" w:eastAsia="zh-CN"/>
        </w:rPr>
        <w:t>7.68</w:t>
      </w:r>
      <w:r>
        <w:rPr>
          <w:rFonts w:hint="eastAsia" w:ascii="仿宋_GB2312" w:eastAsia="仿宋_GB2312"/>
          <w:color w:val="auto"/>
          <w:sz w:val="24"/>
        </w:rPr>
        <w:t>万元，最高限价</w:t>
      </w:r>
      <w:r>
        <w:rPr>
          <w:rFonts w:hint="eastAsia" w:ascii="仿宋_GB2312" w:eastAsia="仿宋_GB2312"/>
          <w:color w:val="auto"/>
          <w:sz w:val="24"/>
          <w:lang w:val="en-US" w:eastAsia="zh-CN"/>
        </w:rPr>
        <w:t>7.68</w:t>
      </w:r>
      <w:r>
        <w:rPr>
          <w:rFonts w:hint="eastAsia" w:ascii="仿宋_GB2312" w:eastAsia="仿宋_GB2312"/>
          <w:color w:val="auto"/>
          <w:sz w:val="24"/>
        </w:rPr>
        <w:t>万元</w:t>
      </w:r>
      <w:r>
        <w:rPr>
          <w:rFonts w:hint="eastAsia" w:ascii="仿宋_GB2312" w:eastAsia="仿宋_GB2312"/>
          <w:color w:val="auto"/>
          <w:sz w:val="24"/>
          <w:lang w:eastAsia="zh-CN"/>
        </w:rPr>
        <w:t>，</w:t>
      </w:r>
    </w:p>
    <w:p>
      <w:pPr>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7"/>
        <w:pageBreakBefore w:val="0"/>
        <w:widowControl w:val="0"/>
        <w:kinsoku/>
        <w:wordWrap/>
        <w:overflowPunct/>
        <w:topLinePunct w:val="0"/>
        <w:autoSpaceDE/>
        <w:autoSpaceDN/>
        <w:bidi w:val="0"/>
        <w:adjustRightInd/>
        <w:snapToGrid/>
        <w:spacing w:after="0" w:line="240" w:lineRule="auto"/>
        <w:ind w:firstLine="602" w:firstLineChars="250"/>
        <w:textAlignment w:val="auto"/>
        <w:rPr>
          <w:rFonts w:ascii="仿宋" w:hAnsi="仿宋" w:eastAsia="仿宋"/>
          <w:sz w:val="24"/>
        </w:rPr>
      </w:pPr>
      <w:r>
        <w:rPr>
          <w:rFonts w:hint="eastAsia" w:ascii="楷体" w:hAnsi="楷体" w:eastAsia="楷体" w:cs="楷体"/>
          <w:b/>
          <w:bCs/>
          <w:color w:val="auto"/>
          <w:kern w:val="2"/>
          <w:sz w:val="24"/>
          <w:szCs w:val="24"/>
          <w:lang w:val="en-US" w:eastAsia="zh-CN" w:bidi="ar-SA"/>
        </w:rPr>
        <w:t>（二）采购清单</w:t>
      </w:r>
    </w:p>
    <w:tbl>
      <w:tblPr>
        <w:tblStyle w:val="19"/>
        <w:tblW w:w="8219"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128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1283"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数量</w:t>
            </w:r>
          </w:p>
        </w:tc>
        <w:tc>
          <w:tcPr>
            <w:tcW w:w="1304"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w:t>
            </w:r>
            <w:r>
              <w:rPr>
                <w:rFonts w:hint="eastAsia" w:ascii="仿宋_GB2312" w:hAnsi="仿宋_GB2312" w:eastAsia="仿宋_GB2312" w:cs="仿宋_GB2312"/>
                <w:sz w:val="21"/>
                <w:szCs w:val="21"/>
                <w:lang w:eastAsia="zh-CN"/>
              </w:rPr>
              <w:t>万元</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pageBreakBefore w:val="0"/>
              <w:kinsoku/>
              <w:wordWrap/>
              <w:overflowPunct/>
              <w:topLinePunct w:val="0"/>
              <w:bidi w:val="0"/>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pageBreakBefore w:val="0"/>
              <w:kinsoku/>
              <w:wordWrap/>
              <w:overflowPunct/>
              <w:topLinePunct w:val="0"/>
              <w:bidi w:val="0"/>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ageBreakBefore w:val="0"/>
              <w:kinsoku/>
              <w:wordWrap/>
              <w:overflowPunct/>
              <w:topLinePunct w:val="0"/>
              <w:bidi w:val="0"/>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设备</w:t>
            </w:r>
          </w:p>
        </w:tc>
        <w:tc>
          <w:tcPr>
            <w:tcW w:w="3730" w:type="dxa"/>
            <w:vAlign w:val="center"/>
          </w:tcPr>
          <w:p>
            <w:pPr>
              <w:pageBreakBefore w:val="0"/>
              <w:widowControl/>
              <w:kinsoku/>
              <w:wordWrap/>
              <w:overflowPunct/>
              <w:topLinePunct w:val="0"/>
              <w:bidi w:val="0"/>
              <w:spacing w:line="240" w:lineRule="auto"/>
              <w:ind w:left="0" w:leftChars="0"/>
              <w:jc w:val="left"/>
              <w:rPr>
                <w:rFonts w:hint="eastAsia" w:ascii="仿宋_GB2312" w:hAnsi="仿宋" w:eastAsia="仿宋_GB2312"/>
                <w:szCs w:val="21"/>
                <w:lang w:val="en-US" w:eastAsia="zh-CN"/>
              </w:rPr>
            </w:pPr>
            <w:r>
              <w:rPr>
                <w:rFonts w:hint="eastAsia" w:ascii="仿宋" w:hAnsi="仿宋" w:eastAsia="仿宋" w:cs="宋体"/>
                <w:color w:val="000000"/>
                <w:kern w:val="0"/>
                <w:sz w:val="24"/>
                <w:szCs w:val="24"/>
                <w:lang w:val="en-US" w:eastAsia="zh-CN"/>
              </w:rPr>
              <w:t>床单元消毒机</w:t>
            </w:r>
          </w:p>
        </w:tc>
        <w:tc>
          <w:tcPr>
            <w:tcW w:w="1283" w:type="dxa"/>
            <w:vAlign w:val="center"/>
          </w:tcPr>
          <w:p>
            <w:pPr>
              <w:pageBreakBefore w:val="0"/>
              <w:kinsoku/>
              <w:wordWrap/>
              <w:overflowPunct/>
              <w:topLinePunct w:val="0"/>
              <w:bidi w:val="0"/>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8台</w:t>
            </w:r>
          </w:p>
        </w:tc>
        <w:tc>
          <w:tcPr>
            <w:tcW w:w="1304" w:type="dxa"/>
            <w:vAlign w:val="center"/>
          </w:tcPr>
          <w:p>
            <w:pPr>
              <w:pStyle w:val="6"/>
              <w:pageBreakBefore w:val="0"/>
              <w:kinsoku/>
              <w:wordWrap/>
              <w:overflowPunct/>
              <w:topLinePunct w:val="0"/>
              <w:bidi w:val="0"/>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219" w:type="dxa"/>
            <w:gridSpan w:val="6"/>
            <w:vAlign w:val="center"/>
          </w:tcPr>
          <w:p>
            <w:pPr>
              <w:pStyle w:val="27"/>
              <w:pageBreakBefore w:val="0"/>
              <w:kinsoku/>
              <w:wordWrap/>
              <w:overflowPunct/>
              <w:topLinePunct w:val="0"/>
              <w:bidi w:val="0"/>
              <w:spacing w:line="240" w:lineRule="auto"/>
              <w:ind w:left="0" w:leftChars="0" w:firstLine="0" w:firstLineChars="0"/>
              <w:rPr>
                <w:rFonts w:hint="eastAsia" w:ascii="仿宋_GB2312" w:hAnsi="仿宋" w:eastAsia="仿宋_GB2312"/>
                <w:color w:val="auto"/>
                <w:szCs w:val="21"/>
                <w:lang w:val="en-US" w:eastAsia="zh-CN"/>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r>
              <w:rPr>
                <w:rFonts w:hint="eastAsia" w:ascii="仿宋_GB2312" w:hAnsi="仿宋_GB2312" w:eastAsia="仿宋_GB2312" w:cs="仿宋_GB2312"/>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二、商务要求</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★1．交货期及地点</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交货期：合同签订之日起</w:t>
      </w: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rPr>
        <w:t>天内。</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交货地点:资阳市第一人民医院</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★2．付款方法和条件：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所有货物在采购人使用现场交付清点无误，安装、调试完毕、资料交接完毕，经验收合格后7个工作日内，付设备金额的30%，自设备安装正常运行半年后7个工作日内付合同总金额的65% ，质保期内设备正常运行满1年后7个工作日内付5%，付清余款。</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3.</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质保期：</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整机设备质保期为2年；</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质保期内</w:t>
      </w:r>
      <w:r>
        <w:rPr>
          <w:rFonts w:hint="eastAsia" w:ascii="仿宋_GB2312" w:hAnsi="仿宋_GB2312" w:eastAsia="仿宋_GB2312" w:cs="仿宋_GB2312"/>
          <w:spacing w:val="-4"/>
          <w:sz w:val="24"/>
          <w:szCs w:val="24"/>
        </w:rPr>
        <w:t>供应商</w:t>
      </w:r>
      <w:r>
        <w:rPr>
          <w:rFonts w:hint="eastAsia" w:ascii="仿宋_GB2312" w:hAnsi="仿宋_GB2312" w:eastAsia="仿宋_GB2312" w:cs="仿宋_GB2312"/>
          <w:sz w:val="24"/>
          <w:szCs w:val="24"/>
        </w:rPr>
        <w:t>应负责设备保养、维修及相关的零配件；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供应商保证年开机率大于95％（365天/年计算），若≤95％则相应延长保修期。</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4. 交货时应提供以下技术资料（设备）（如涉及）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原产地证明书(由制造厂签发)；</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提供主机及配套设备的安装图纸及说明；</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提供主机及配套设备使用说明书、维护手册；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备件手册、零件及易损件的图纸及相关资料；</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其它相关技术资料。</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产品说明书及医疗设备的标牌上标注有生产日期、使用期限。</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提供设备更换零配件维修价格表。</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5.</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安装、调试、培训及验收：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安装调试：供应商负责设备安装、调试，货物到达生产现场后，供应商接到采购人通知后7日内到达现场组织安装、调试，达到正常运行要求，保证采购人正常使用，所需的费用包括在投标总价格中。</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培训：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验收：验收标准以招投标文件技术参数及要求和相关行业标准为准。</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楷体" w:hAnsi="楷体" w:eastAsia="楷体" w:cs="楷体"/>
          <w:b/>
          <w:bCs/>
          <w:sz w:val="24"/>
          <w:szCs w:val="24"/>
        </w:rPr>
      </w:pPr>
      <w:r>
        <w:rPr>
          <w:rFonts w:hint="eastAsia" w:ascii="楷体" w:hAnsi="楷体" w:eastAsia="楷体" w:cs="楷体"/>
          <w:b/>
          <w:bCs/>
          <w:sz w:val="24"/>
          <w:szCs w:val="24"/>
        </w:rPr>
        <w:t>6.</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其他：</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其他商务要求请参照《采购合同》执行。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供应商为非产品制造商承诺：交货时提供所投产品制造商针对本项目的授权书（提供承诺函）。</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供货时供应商向采购人提供资料：医疗器械需提供《医疗器械注册证》复印件、《使用说明书》、其他相关资料（具体要求见技术、服务要求）。消毒产品提供权威的检测机构出具的《检测报告》复印件。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注：各品目质保期及售后服务要求与上述内容不一致的，以各品目为准。</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黑体" w:hAnsi="黑体" w:eastAsia="黑体" w:cs="黑体"/>
          <w:sz w:val="24"/>
          <w:szCs w:val="24"/>
        </w:rPr>
      </w:pPr>
      <w:r>
        <w:rPr>
          <w:rFonts w:hint="eastAsia" w:ascii="黑体" w:hAnsi="黑体" w:eastAsia="黑体" w:cs="黑体"/>
          <w:sz w:val="24"/>
          <w:szCs w:val="24"/>
        </w:rPr>
        <w:t>三、售后服务</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零配件:送达期限在设备的使用寿命期内，卖方应保证国内不超过7天，国外不超过21天。投标人提供终身零配件供应，应保证设备停产后的备件供应保证10年，并以优惠的价格提供该设备所需的维修零配件。质保期后，卖方应向用户提供及时的、优质的、价格优惠的技术服务和零配件供应；</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卖方在国内应有24小时电话维修系统，并列出工程师名单、联系电话、通讯地址及备件库地址和备件的详细目录；</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质保期内仪器出现问题，接到故障报修后1小时内做出响应，如电话指导不能处理，24小时内派专人到场维修，维修期间提供备用设备。</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四、</w:t>
      </w:r>
      <w:r>
        <w:rPr>
          <w:rFonts w:hint="eastAsia" w:ascii="黑体" w:hAnsi="黑体" w:eastAsia="黑体" w:cs="黑体"/>
          <w:sz w:val="24"/>
          <w:szCs w:val="24"/>
          <w:lang w:eastAsia="zh-CN"/>
        </w:rPr>
        <w:t>产品要求</w:t>
      </w:r>
    </w:p>
    <w:p>
      <w:pPr>
        <w:keepNext w:val="0"/>
        <w:keepLines w:val="0"/>
        <w:pageBreakBefore w:val="0"/>
        <w:widowControl w:val="0"/>
        <w:kinsoku/>
        <w:wordWrap/>
        <w:overflowPunct/>
        <w:topLinePunct w:val="0"/>
        <w:autoSpaceDE/>
        <w:autoSpaceDN/>
        <w:bidi w:val="0"/>
        <w:adjustRightInd/>
        <w:snapToGrid/>
        <w:spacing w:after="0" w:line="240" w:lineRule="auto"/>
        <w:ind w:firstLine="472" w:firstLineChars="196"/>
        <w:textAlignment w:val="auto"/>
        <w:outlineLvl w:val="9"/>
        <w:rPr>
          <w:rFonts w:hint="eastAsia" w:ascii="仿宋" w:hAnsi="仿宋" w:eastAsia="仿宋"/>
          <w:b/>
          <w:sz w:val="24"/>
        </w:rPr>
      </w:pPr>
      <w:r>
        <w:rPr>
          <w:rFonts w:hint="eastAsia" w:ascii="仿宋_GB2312" w:hAnsi="仿宋_GB2312" w:eastAsia="仿宋_GB2312" w:cs="仿宋_GB2312"/>
          <w:b/>
          <w:sz w:val="24"/>
          <w:szCs w:val="24"/>
          <w:lang w:val="en-US" w:eastAsia="zh-CN"/>
        </w:rPr>
        <w:t xml:space="preserve">1. </w:t>
      </w:r>
      <w:r>
        <w:rPr>
          <w:rFonts w:hint="eastAsia" w:ascii="仿宋_GB2312" w:hAnsi="仿宋_GB2312" w:eastAsia="仿宋_GB2312" w:cs="仿宋_GB2312"/>
          <w:b/>
          <w:sz w:val="24"/>
          <w:szCs w:val="24"/>
          <w:lang w:eastAsia="zh-CN"/>
        </w:rPr>
        <w:t>包号</w:t>
      </w:r>
      <w:r>
        <w:rPr>
          <w:rFonts w:hint="eastAsia" w:ascii="仿宋_GB2312" w:hAnsi="仿宋_GB2312" w:eastAsia="仿宋_GB2312" w:cs="仿宋_GB2312"/>
          <w:b/>
          <w:sz w:val="24"/>
          <w:szCs w:val="24"/>
          <w:lang w:val="en-US" w:eastAsia="zh-CN"/>
        </w:rPr>
        <w:t>1</w:t>
      </w:r>
      <w:r>
        <w:rPr>
          <w:rFonts w:hint="eastAsia" w:ascii="仿宋" w:hAnsi="仿宋" w:eastAsia="仿宋"/>
          <w:b/>
          <w:sz w:val="24"/>
        </w:rPr>
        <w:t>移动床单元消毒机</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 应用于医院病床被褥、服装，枕芯、手术室衣物、床垫等用品的消毒灭菌。</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 臭氧输出浓度：≥500mg/m³，提供相关臭氧浓检测报告。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1.3床袋（或罩）密闭时臭氧泄漏：≤0.1mg/m3。</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 机身采用简洁流畅的外型设计，外壳采用优质阻燃复合材料ABS工程塑料，表面光滑易擦拭。</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 结构形式：移动式底部有≥3个供移动的滑轮，设备顶部有方便推动的一体成型把手；背部有≥2个专用储存柜而非网兜，用于存放床罩、床袋、抽气与充气管路、可拆卸的制式电源线。</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 检修的便捷性：设备主要部件（臭氧发生装置、电动球阀等）可从设备底部通过静音滑轨抽拉出来；控制板等电控系统，可以通过顶部机盖轻松取出，即可实现方便地检修。</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 采用独特的搪瓷臭氧发生器，臭氧浓度大、产量高。</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 消毒程序：自动控制。</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 采用专用抽、充气技术，使臭氧能更好地渗透到物体内部消毒。</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 采用微电脑操作控制系统，对消毒过程进行控制和观察。</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1.11 消毒效果：对大肠杆菌8099的杀灭对数值≥3.00，对金黄色葡萄球菌ATCC6538杀灭对数值≥3.00，对白色念珠菌杀灭对数值≥3.00，提供相关检测报告。</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1.12 能有效去除附着在物体上的各种异味、血腥味、霉味、大小便味等。对消毒物品有增白的作用。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1.13 设备程序运行采用抽气-消毒-密闭-解析的模式，各个程序阶段时间均可根据实际需求预先手动设置，设置范围为0～999min，可轻松完成个性化的消毒需求且操作简便。</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1.14 输入功率：≤140W，宽电压设计（AC85-264V），特别适用于电压波动的地方使用。</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 安装最小距离：与墙壁的最小距离50mm。</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1.16 贮存环境条件：环境温度：5～40℃；相对湿度：≤90%；大气压力：86kPa～106kPa。</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1.17 正常工作条件：</w:t>
      </w:r>
    </w:p>
    <w:p>
      <w:pPr>
        <w:keepNext w:val="0"/>
        <w:keepLines w:val="0"/>
        <w:pageBreakBefore w:val="0"/>
        <w:widowControl w:val="0"/>
        <w:kinsoku/>
        <w:wordWrap/>
        <w:overflowPunct/>
        <w:topLinePunct w:val="0"/>
        <w:autoSpaceDE/>
        <w:autoSpaceDN/>
        <w:bidi w:val="0"/>
        <w:adjustRightInd/>
        <w:snapToGrid/>
        <w:spacing w:after="0" w:line="240" w:lineRule="auto"/>
        <w:ind w:firstLine="710" w:firstLineChars="2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1.17.1 供电电源： 220V±22V　50Hz±1Hz，</w:t>
      </w:r>
    </w:p>
    <w:p>
      <w:pPr>
        <w:keepNext w:val="0"/>
        <w:keepLines w:val="0"/>
        <w:pageBreakBefore w:val="0"/>
        <w:widowControl w:val="0"/>
        <w:kinsoku/>
        <w:wordWrap/>
        <w:overflowPunct/>
        <w:topLinePunct w:val="0"/>
        <w:autoSpaceDE/>
        <w:autoSpaceDN/>
        <w:bidi w:val="0"/>
        <w:adjustRightInd/>
        <w:snapToGrid/>
        <w:spacing w:after="0" w:line="240" w:lineRule="auto"/>
        <w:ind w:firstLine="710" w:firstLineChars="2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1.17.2 相对湿度：≤80%，</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1.17.3 环境温度：5℃～40℃，</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1.17.4 大气压力：86kPa～106kPa。</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1.18 整机外形尺寸≤长614×宽545×高973mm。</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 整机重量：≤30kg。</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eastAsia="仿宋"/>
          <w:lang w:val="en-US" w:eastAsia="zh-CN"/>
        </w:rPr>
      </w:pPr>
      <w:r>
        <w:rPr>
          <w:rFonts w:hint="eastAsia" w:ascii="仿宋_GB2312" w:hAnsi="仿宋_GB2312" w:eastAsia="仿宋_GB2312" w:cs="仿宋_GB2312"/>
          <w:sz w:val="24"/>
          <w:szCs w:val="24"/>
          <w:lang w:val="en-US" w:eastAsia="zh-CN"/>
        </w:rPr>
        <w:t>1.20 配置</w:t>
      </w:r>
      <w:r>
        <w:rPr>
          <w:rFonts w:hint="eastAsia" w:ascii="仿宋" w:hAnsi="仿宋" w:eastAsia="仿宋"/>
          <w:sz w:val="24"/>
        </w:rPr>
        <w:t>床袋（或罩）</w:t>
      </w:r>
      <w:r>
        <w:rPr>
          <w:rFonts w:hint="eastAsia" w:ascii="仿宋" w:hAnsi="仿宋" w:eastAsia="仿宋"/>
          <w:sz w:val="24"/>
          <w:lang w:eastAsia="zh-CN"/>
        </w:rPr>
        <w:t>：</w:t>
      </w:r>
      <w:r>
        <w:rPr>
          <w:rFonts w:hint="eastAsia" w:ascii="仿宋_GB2312" w:hAnsi="仿宋_GB2312" w:eastAsia="仿宋_GB2312" w:cs="仿宋_GB2312"/>
          <w:sz w:val="24"/>
          <w:szCs w:val="24"/>
          <w:lang w:val="en-US" w:eastAsia="zh-CN"/>
        </w:rPr>
        <w:t>≥2个。</w:t>
      </w: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70" w:firstLineChars="196"/>
        <w:textAlignment w:val="auto"/>
        <w:outlineLvl w:val="9"/>
        <w:rPr>
          <w:rFonts w:hint="eastAsia" w:ascii="黑体" w:hAnsi="黑体" w:eastAsia="黑体" w:cs="黑体"/>
          <w:sz w:val="24"/>
          <w:szCs w:val="24"/>
        </w:rPr>
      </w:pPr>
      <w:r>
        <w:rPr>
          <w:rFonts w:hint="eastAsia" w:ascii="黑体" w:hAnsi="黑体" w:eastAsia="黑体" w:cs="黑体"/>
          <w:sz w:val="24"/>
          <w:szCs w:val="24"/>
        </w:rPr>
        <w:t>五、其他要求：</w:t>
      </w:r>
    </w:p>
    <w:p>
      <w:pPr>
        <w:widowControl/>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lang w:eastAsia="zh-CN"/>
        </w:rPr>
        <w:t>投标产品</w:t>
      </w:r>
      <w:r>
        <w:rPr>
          <w:rFonts w:hint="eastAsia" w:ascii="仿宋_GB2312" w:hAnsi="仿宋_GB2312" w:eastAsia="仿宋_GB2312" w:cs="仿宋_GB2312"/>
          <w:b w:val="0"/>
          <w:bCs/>
          <w:kern w:val="0"/>
          <w:sz w:val="24"/>
          <w:u w:val="single"/>
          <w:lang w:eastAsia="zh-CN"/>
        </w:rPr>
        <w:t>　　　</w:t>
      </w:r>
      <w:r>
        <w:rPr>
          <w:rFonts w:hint="eastAsia" w:ascii="仿宋_GB2312" w:hAnsi="仿宋_GB2312" w:eastAsia="仿宋_GB2312" w:cs="仿宋_GB2312"/>
          <w:b w:val="0"/>
          <w:bCs/>
          <w:kern w:val="0"/>
          <w:sz w:val="24"/>
        </w:rPr>
        <w:t>零配件价格表</w:t>
      </w:r>
    </w:p>
    <w:tbl>
      <w:tblPr>
        <w:tblStyle w:val="20"/>
        <w:tblW w:w="863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15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产品名称</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规格型号</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生产公司</w:t>
            </w:r>
          </w:p>
        </w:tc>
        <w:tc>
          <w:tcPr>
            <w:tcW w:w="1479"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注册证</w:t>
            </w:r>
          </w:p>
        </w:tc>
        <w:tc>
          <w:tcPr>
            <w:tcW w:w="651"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单位</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价格（元）</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bl>
    <w:p>
      <w:pPr>
        <w:widowControl/>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注：投标人如实填写</w:t>
      </w:r>
      <w:r>
        <w:rPr>
          <w:rFonts w:hint="eastAsia" w:ascii="仿宋_GB2312" w:hAnsi="仿宋_GB2312" w:eastAsia="仿宋_GB2312" w:cs="仿宋_GB2312"/>
          <w:b w:val="0"/>
          <w:bCs/>
          <w:sz w:val="24"/>
          <w:szCs w:val="24"/>
          <w:lang w:eastAsia="zh-CN"/>
        </w:rPr>
        <w:t>《投标产品</w:t>
      </w:r>
      <w:r>
        <w:rPr>
          <w:rFonts w:hint="eastAsia" w:ascii="仿宋_GB2312" w:hAnsi="仿宋_GB2312" w:eastAsia="仿宋_GB2312" w:cs="仿宋_GB2312"/>
          <w:b w:val="0"/>
          <w:bCs/>
          <w:sz w:val="24"/>
          <w:szCs w:val="24"/>
          <w:u w:val="single"/>
          <w:lang w:val="en-US" w:eastAsia="zh-CN"/>
        </w:rPr>
        <w:t>　　　</w:t>
      </w:r>
      <w:r>
        <w:rPr>
          <w:rFonts w:hint="eastAsia" w:ascii="仿宋_GB2312" w:hAnsi="仿宋_GB2312" w:eastAsia="仿宋_GB2312" w:cs="仿宋_GB2312"/>
          <w:b w:val="0"/>
          <w:bCs/>
          <w:kern w:val="0"/>
          <w:sz w:val="24"/>
        </w:rPr>
        <w:t>零配件价格表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，填</w:t>
      </w:r>
      <w:r>
        <w:rPr>
          <w:rFonts w:hint="eastAsia" w:ascii="仿宋_GB2312" w:hAnsi="仿宋_GB2312" w:eastAsia="仿宋_GB2312" w:cs="仿宋_GB2312"/>
          <w:b w:val="0"/>
          <w:bCs/>
          <w:sz w:val="24"/>
          <w:szCs w:val="24"/>
          <w:lang w:eastAsia="zh-CN"/>
        </w:rPr>
        <w:t>写</w:t>
      </w:r>
      <w:r>
        <w:rPr>
          <w:rFonts w:hint="eastAsia" w:ascii="仿宋_GB2312" w:hAnsi="仿宋_GB2312" w:eastAsia="仿宋_GB2312" w:cs="仿宋_GB2312"/>
          <w:b w:val="0"/>
          <w:bCs/>
          <w:sz w:val="24"/>
          <w:szCs w:val="24"/>
        </w:rPr>
        <w:t>的</w:t>
      </w:r>
      <w:r>
        <w:rPr>
          <w:rFonts w:hint="eastAsia" w:ascii="仿宋_GB2312" w:hAnsi="仿宋_GB2312" w:eastAsia="仿宋_GB2312" w:cs="仿宋_GB2312"/>
          <w:b w:val="0"/>
          <w:bCs/>
          <w:sz w:val="24"/>
          <w:szCs w:val="24"/>
          <w:lang w:eastAsia="zh-CN"/>
        </w:rPr>
        <w:t>零配件价格</w:t>
      </w:r>
      <w:r>
        <w:rPr>
          <w:rFonts w:hint="eastAsia" w:ascii="仿宋_GB2312" w:hAnsi="仿宋_GB2312" w:eastAsia="仿宋_GB2312" w:cs="仿宋_GB2312"/>
          <w:b w:val="0"/>
          <w:bCs/>
          <w:sz w:val="24"/>
          <w:szCs w:val="24"/>
        </w:rPr>
        <w:t>仅作为</w:t>
      </w:r>
      <w:r>
        <w:rPr>
          <w:rFonts w:hint="eastAsia" w:ascii="仿宋_GB2312" w:hAnsi="仿宋_GB2312" w:eastAsia="仿宋_GB2312" w:cs="仿宋_GB2312"/>
          <w:b w:val="0"/>
          <w:bCs/>
          <w:sz w:val="24"/>
          <w:szCs w:val="24"/>
          <w:lang w:eastAsia="zh-CN"/>
        </w:rPr>
        <w:t>投标产品在质保期外</w:t>
      </w:r>
      <w:r>
        <w:rPr>
          <w:rFonts w:hint="eastAsia" w:ascii="仿宋_GB2312" w:hAnsi="仿宋_GB2312" w:eastAsia="仿宋_GB2312" w:cs="仿宋_GB2312"/>
          <w:b w:val="0"/>
          <w:bCs/>
          <w:sz w:val="24"/>
          <w:szCs w:val="24"/>
        </w:rPr>
        <w:t>维修时</w:t>
      </w:r>
      <w:r>
        <w:rPr>
          <w:rFonts w:hint="eastAsia" w:ascii="仿宋_GB2312" w:hAnsi="仿宋_GB2312" w:eastAsia="仿宋_GB2312" w:cs="仿宋_GB2312"/>
          <w:b w:val="0"/>
          <w:bCs/>
          <w:sz w:val="24"/>
          <w:szCs w:val="24"/>
          <w:lang w:eastAsia="zh-CN"/>
        </w:rPr>
        <w:t>更换</w:t>
      </w:r>
      <w:r>
        <w:rPr>
          <w:rFonts w:hint="eastAsia" w:ascii="仿宋_GB2312" w:hAnsi="仿宋_GB2312" w:eastAsia="仿宋_GB2312" w:cs="仿宋_GB2312"/>
          <w:b w:val="0"/>
          <w:bCs/>
          <w:kern w:val="0"/>
          <w:sz w:val="24"/>
        </w:rPr>
        <w:t>零配件</w:t>
      </w:r>
      <w:r>
        <w:rPr>
          <w:rFonts w:hint="eastAsia" w:ascii="仿宋_GB2312" w:hAnsi="仿宋_GB2312" w:eastAsia="仿宋_GB2312" w:cs="仿宋_GB2312"/>
          <w:b w:val="0"/>
          <w:bCs/>
          <w:kern w:val="0"/>
          <w:sz w:val="24"/>
          <w:lang w:eastAsia="zh-CN"/>
        </w:rPr>
        <w:t>的</w:t>
      </w:r>
      <w:r>
        <w:rPr>
          <w:rFonts w:hint="eastAsia" w:ascii="仿宋_GB2312" w:hAnsi="仿宋_GB2312" w:eastAsia="仿宋_GB2312" w:cs="仿宋_GB2312"/>
          <w:b w:val="0"/>
          <w:bCs/>
          <w:sz w:val="24"/>
          <w:szCs w:val="24"/>
        </w:rPr>
        <w:t>参考价格，</w:t>
      </w:r>
      <w:r>
        <w:rPr>
          <w:rFonts w:hint="eastAsia" w:ascii="仿宋_GB2312" w:hAnsi="仿宋_GB2312" w:eastAsia="仿宋_GB2312" w:cs="仿宋_GB2312"/>
          <w:b w:val="0"/>
          <w:bCs/>
          <w:sz w:val="24"/>
          <w:szCs w:val="24"/>
          <w:lang w:eastAsia="zh-CN"/>
        </w:rPr>
        <w:t>若有</w:t>
      </w:r>
      <w:r>
        <w:rPr>
          <w:rFonts w:hint="eastAsia" w:ascii="仿宋_GB2312" w:hAnsi="仿宋_GB2312" w:eastAsia="仿宋_GB2312" w:cs="仿宋_GB2312"/>
          <w:b w:val="0"/>
          <w:bCs/>
          <w:sz w:val="24"/>
          <w:szCs w:val="24"/>
        </w:rPr>
        <w:t>未填报</w:t>
      </w:r>
      <w:r>
        <w:rPr>
          <w:rFonts w:hint="eastAsia" w:ascii="仿宋_GB2312" w:hAnsi="仿宋_GB2312" w:eastAsia="仿宋_GB2312" w:cs="仿宋_GB2312"/>
          <w:b w:val="0"/>
          <w:bCs/>
          <w:sz w:val="24"/>
          <w:szCs w:val="24"/>
          <w:lang w:eastAsia="zh-CN"/>
        </w:rPr>
        <w:t>的投标</w:t>
      </w:r>
      <w:r>
        <w:rPr>
          <w:rFonts w:hint="eastAsia" w:ascii="仿宋_GB2312" w:hAnsi="仿宋_GB2312" w:eastAsia="仿宋_GB2312" w:cs="仿宋_GB2312"/>
          <w:b w:val="0"/>
          <w:bCs/>
          <w:sz w:val="24"/>
          <w:szCs w:val="24"/>
        </w:rPr>
        <w:t>产品零配件则由</w:t>
      </w:r>
      <w:r>
        <w:rPr>
          <w:rFonts w:hint="eastAsia" w:ascii="仿宋_GB2312" w:hAnsi="仿宋_GB2312" w:eastAsia="仿宋_GB2312" w:cs="仿宋_GB2312"/>
          <w:b w:val="0"/>
          <w:bCs/>
          <w:sz w:val="24"/>
          <w:szCs w:val="24"/>
          <w:lang w:eastAsia="zh-CN"/>
        </w:rPr>
        <w:t>投标人或生产公司</w:t>
      </w:r>
      <w:r>
        <w:rPr>
          <w:rFonts w:hint="eastAsia" w:ascii="仿宋_GB2312" w:hAnsi="仿宋_GB2312" w:eastAsia="仿宋_GB2312" w:cs="仿宋_GB2312"/>
          <w:b w:val="0"/>
          <w:bCs/>
          <w:sz w:val="24"/>
          <w:szCs w:val="24"/>
        </w:rPr>
        <w:t>免费提供</w:t>
      </w:r>
      <w:r>
        <w:rPr>
          <w:rFonts w:hint="eastAsia" w:ascii="仿宋_GB2312" w:hAnsi="仿宋_GB2312" w:eastAsia="仿宋_GB2312" w:cs="仿宋_GB2312"/>
          <w:b w:val="0"/>
          <w:bCs/>
          <w:sz w:val="24"/>
          <w:szCs w:val="24"/>
          <w:lang w:eastAsia="zh-CN"/>
        </w:rPr>
        <w:t>（需投标人及生产公司盖章）</w:t>
      </w:r>
      <w:r>
        <w:rPr>
          <w:rFonts w:hint="eastAsia" w:ascii="仿宋_GB2312" w:hAnsi="仿宋_GB2312" w:eastAsia="仿宋_GB2312" w:cs="仿宋_GB2312"/>
          <w:b w:val="0"/>
          <w:bCs/>
          <w:sz w:val="24"/>
          <w:szCs w:val="24"/>
        </w:rPr>
        <w:t>。</w:t>
      </w:r>
    </w:p>
    <w:p>
      <w:pPr>
        <w:spacing w:after="156" w:afterLines="50" w:line="240" w:lineRule="auto"/>
        <w:rPr>
          <w:rFonts w:ascii="仿宋" w:hAnsi="仿宋" w:eastAsia="仿宋"/>
          <w:bCs/>
          <w:sz w:val="24"/>
        </w:rPr>
      </w:pPr>
    </w:p>
    <w:p>
      <w:pPr>
        <w:pStyle w:val="35"/>
        <w:pageBreakBefore w:val="0"/>
        <w:kinsoku/>
        <w:wordWrap/>
        <w:overflowPunct/>
        <w:topLinePunct w:val="0"/>
        <w:bidi w:val="0"/>
        <w:spacing w:line="240" w:lineRule="auto"/>
        <w:jc w:val="both"/>
        <w:rPr>
          <w:rFonts w:hint="eastAsia"/>
          <w:lang w:eastAsia="zh-CN"/>
        </w:rPr>
      </w:pPr>
      <w:r>
        <w:rPr>
          <w:rFonts w:hint="eastAsia"/>
          <w:lang w:eastAsia="zh-CN"/>
        </w:rPr>
        <w:br w:type="page"/>
      </w:r>
    </w:p>
    <w:p>
      <w:pPr>
        <w:pStyle w:val="35"/>
        <w:pageBreakBefore w:val="0"/>
        <w:kinsoku/>
        <w:wordWrap/>
        <w:overflowPunct/>
        <w:topLinePunct w:val="0"/>
        <w:bidi w:val="0"/>
        <w:spacing w:line="240" w:lineRule="auto"/>
        <w:rPr>
          <w:rFonts w:hint="eastAsia"/>
          <w:lang w:eastAsia="zh-CN"/>
        </w:rPr>
      </w:pPr>
      <w:bookmarkStart w:id="13" w:name="_Toc15281_WPSOffice_Level1"/>
      <w:r>
        <w:rPr>
          <w:rFonts w:hint="eastAsia"/>
          <w:lang w:eastAsia="zh-CN"/>
        </w:rPr>
        <w:t>第三章  评标办法</w:t>
      </w:r>
      <w:bookmarkEnd w:id="13"/>
      <w:bookmarkStart w:id="14" w:name="_Hlt101846155"/>
      <w:bookmarkEnd w:id="14"/>
      <w:bookmarkStart w:id="15" w:name="_Toc217446097"/>
      <w:bookmarkStart w:id="16" w:name="_Toc183582280"/>
      <w:bookmarkStart w:id="17" w:name="_Toc208849007"/>
      <w:bookmarkStart w:id="18" w:name="_Toc183682415"/>
    </w:p>
    <w:bookmarkEnd w:id="15"/>
    <w:bookmarkEnd w:id="16"/>
    <w:bookmarkEnd w:id="17"/>
    <w:bookmarkEnd w:id="18"/>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lang w:eastAsia="zh-CN"/>
        </w:rPr>
      </w:pPr>
      <w:bookmarkStart w:id="19" w:name="_Toc217446098"/>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Start w:id="20" w:name="_Toc217446103"/>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bidi w:val="0"/>
        <w:snapToGrid/>
        <w:spacing w:after="0" w:line="240" w:lineRule="auto"/>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0"/>
    </w:p>
    <w:p>
      <w:pPr>
        <w:keepNext w:val="0"/>
        <w:keepLines w:val="0"/>
        <w:pageBreakBefore w:val="0"/>
        <w:widowControl w:val="0"/>
        <w:kinsoku/>
        <w:wordWrap/>
        <w:overflowPunct/>
        <w:topLinePunct w:val="0"/>
        <w:bidi w:val="0"/>
        <w:snapToGrid/>
        <w:spacing w:after="0" w:line="240" w:lineRule="auto"/>
        <w:ind w:firstLine="482" w:firstLineChars="200"/>
        <w:textAlignment w:val="auto"/>
        <w:outlineLvl w:val="9"/>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keepNext w:val="0"/>
        <w:keepLines w:val="0"/>
        <w:pageBreakBefore w:val="0"/>
        <w:widowControl w:val="0"/>
        <w:kinsoku/>
        <w:wordWrap/>
        <w:overflowPunct/>
        <w:topLinePunct w:val="0"/>
        <w:bidi w:val="0"/>
        <w:snapToGrid/>
        <w:spacing w:after="0" w:line="240" w:lineRule="auto"/>
        <w:ind w:firstLine="482" w:firstLineChars="200"/>
        <w:jc w:val="both"/>
        <w:textAlignment w:val="auto"/>
        <w:outlineLvl w:val="9"/>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keepNext w:val="0"/>
        <w:keepLines w:val="0"/>
        <w:pageBreakBefore w:val="0"/>
        <w:widowControl w:val="0"/>
        <w:tabs>
          <w:tab w:val="left" w:pos="600"/>
        </w:tabs>
        <w:kinsoku/>
        <w:wordWrap/>
        <w:overflowPunct/>
        <w:topLinePunct w:val="0"/>
        <w:bidi w:val="0"/>
        <w:snapToGrid/>
        <w:spacing w:after="0" w:line="240" w:lineRule="auto"/>
        <w:ind w:firstLine="482" w:firstLineChars="200"/>
        <w:textAlignment w:val="auto"/>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9843" w:type="dxa"/>
        <w:jc w:val="center"/>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92"/>
        <w:gridCol w:w="561"/>
        <w:gridCol w:w="4959"/>
        <w:gridCol w:w="162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292"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959"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20" w:type="dxa"/>
            <w:vAlign w:val="center"/>
          </w:tcPr>
          <w:p>
            <w:pPr>
              <w:pageBreakBefore w:val="0"/>
              <w:kinsoku/>
              <w:wordWrap/>
              <w:overflowPunct/>
              <w:topLinePunct w:val="0"/>
              <w:bidi w:val="0"/>
              <w:spacing w:afterLines="50" w:line="240" w:lineRule="auto"/>
              <w:jc w:val="center"/>
              <w:rPr>
                <w:rFonts w:ascii="仿宋" w:hAnsi="仿宋" w:eastAsia="仿宋"/>
                <w:szCs w:val="21"/>
              </w:rPr>
            </w:pPr>
            <w:r>
              <w:rPr>
                <w:rFonts w:hint="eastAsia" w:ascii="仿宋" w:hAnsi="仿宋" w:eastAsia="仿宋"/>
                <w:szCs w:val="21"/>
              </w:rPr>
              <w:t>备注</w:t>
            </w:r>
          </w:p>
        </w:tc>
        <w:tc>
          <w:tcPr>
            <w:tcW w:w="923" w:type="dxa"/>
            <w:vAlign w:val="center"/>
          </w:tcPr>
          <w:p>
            <w:pPr>
              <w:pageBreakBefore w:val="0"/>
              <w:kinsoku/>
              <w:wordWrap/>
              <w:overflowPunct/>
              <w:topLinePunct w:val="0"/>
              <w:bidi w:val="0"/>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959" w:type="dxa"/>
            <w:vAlign w:val="center"/>
          </w:tcPr>
          <w:p>
            <w:pPr>
              <w:pageBreakBefore w:val="0"/>
              <w:kinsoku/>
              <w:wordWrap/>
              <w:overflowPunct/>
              <w:topLinePunct w:val="0"/>
              <w:bidi w:val="0"/>
              <w:spacing w:afterLines="50" w:line="240" w:lineRule="auto"/>
              <w:jc w:val="left"/>
              <w:rPr>
                <w:rFonts w:ascii="仿宋" w:hAnsi="仿宋" w:eastAsia="仿宋"/>
                <w:szCs w:val="21"/>
              </w:rPr>
            </w:pPr>
            <w:r>
              <w:rPr>
                <w:rFonts w:hint="eastAsia" w:ascii="仿宋" w:hAnsi="仿宋" w:eastAsia="仿宋"/>
                <w:szCs w:val="21"/>
              </w:rPr>
              <w:t>满足医学装备采购要求及评分标准要求且投标价格最低的投标报价为基准价，其价格分为满分。其他投标人的价格分统一按照下列公式计算：投标报价得分=</w:t>
            </w:r>
            <w:r>
              <w:rPr>
                <w:rFonts w:ascii="仿宋" w:hAnsi="仿宋" w:eastAsia="仿宋"/>
                <w:szCs w:val="21"/>
              </w:rPr>
              <w:t>(</w:t>
            </w:r>
            <w:r>
              <w:rPr>
                <w:rFonts w:hint="eastAsia" w:ascii="仿宋" w:hAnsi="仿宋" w:eastAsia="仿宋"/>
                <w:szCs w:val="21"/>
              </w:rPr>
              <w:t>评标基准价／投标报价</w:t>
            </w:r>
            <w:r>
              <w:rPr>
                <w:rFonts w:ascii="仿宋" w:hAnsi="仿宋" w:eastAsia="仿宋"/>
                <w:szCs w:val="21"/>
              </w:rPr>
              <w:t>)</w:t>
            </w:r>
            <w:r>
              <w:rPr>
                <w:rFonts w:hint="eastAsia" w:ascii="仿宋" w:hAnsi="仿宋" w:eastAsia="仿宋"/>
                <w:szCs w:val="21"/>
              </w:rPr>
              <w:t>×</w:t>
            </w:r>
            <w:r>
              <w:rPr>
                <w:rFonts w:ascii="仿宋" w:hAnsi="仿宋" w:eastAsia="仿宋"/>
                <w:szCs w:val="21"/>
              </w:rPr>
              <w:t>35%</w:t>
            </w:r>
            <w:r>
              <w:rPr>
                <w:rFonts w:hint="eastAsia" w:ascii="仿宋" w:hAnsi="仿宋" w:eastAsia="仿宋"/>
                <w:szCs w:val="21"/>
              </w:rPr>
              <w:t>×</w:t>
            </w:r>
            <w:r>
              <w:rPr>
                <w:rFonts w:ascii="仿宋" w:hAnsi="仿宋" w:eastAsia="仿宋"/>
                <w:szCs w:val="21"/>
              </w:rPr>
              <w:t>100</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ascii="仿宋" w:hAnsi="仿宋" w:eastAsia="仿宋"/>
                <w:szCs w:val="21"/>
              </w:rPr>
              <w:t>2</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53分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要求、四、产品要求、五、其他要求”，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292"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4分</w:t>
            </w:r>
          </w:p>
        </w:tc>
        <w:tc>
          <w:tcPr>
            <w:tcW w:w="4959"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20"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w:t>
            </w:r>
          </w:p>
        </w:tc>
        <w:tc>
          <w:tcPr>
            <w:tcW w:w="923" w:type="dxa"/>
            <w:vAlign w:val="center"/>
          </w:tcPr>
          <w:p>
            <w:pPr>
              <w:pageBreakBefore w:val="0"/>
              <w:kinsoku/>
              <w:wordWrap/>
              <w:overflowPunct/>
              <w:topLinePunct w:val="0"/>
              <w:bidi w:val="0"/>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3分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3分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lang w:val="en-US" w:eastAsia="zh-CN"/>
              </w:rPr>
              <w:t>8</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20" w:type="dxa"/>
            <w:vAlign w:val="center"/>
          </w:tcPr>
          <w:p>
            <w:pPr>
              <w:pageBreakBefore w:val="0"/>
              <w:kinsoku/>
              <w:wordWrap/>
              <w:overflowPunct/>
              <w:topLinePunct w:val="0"/>
              <w:bidi w:val="0"/>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923" w:type="dxa"/>
            <w:vAlign w:val="center"/>
          </w:tcPr>
          <w:p>
            <w:pPr>
              <w:pageBreakBefore w:val="0"/>
              <w:kinsoku/>
              <w:wordWrap/>
              <w:overflowPunct/>
              <w:topLinePunct w:val="0"/>
              <w:bidi w:val="0"/>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88" w:type="dxa"/>
            <w:vAlign w:val="center"/>
          </w:tcPr>
          <w:p>
            <w:pPr>
              <w:pageBreakBefore w:val="0"/>
              <w:kinsoku/>
              <w:wordWrap/>
              <w:overflowPunct/>
              <w:topLinePunct w:val="0"/>
              <w:bidi w:val="0"/>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292"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959"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20"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w:t>
            </w:r>
          </w:p>
        </w:tc>
        <w:tc>
          <w:tcPr>
            <w:tcW w:w="923" w:type="dxa"/>
            <w:vAlign w:val="center"/>
          </w:tcPr>
          <w:p>
            <w:pPr>
              <w:pageBreakBefore w:val="0"/>
              <w:kinsoku/>
              <w:wordWrap/>
              <w:overflowPunct/>
              <w:topLinePunct w:val="0"/>
              <w:bidi w:val="0"/>
              <w:spacing w:afterLines="50" w:line="240" w:lineRule="auto"/>
              <w:rPr>
                <w:rFonts w:ascii="仿宋" w:hAnsi="仿宋" w:eastAsia="仿宋"/>
                <w:szCs w:val="21"/>
              </w:rPr>
            </w:pPr>
            <w:r>
              <w:rPr>
                <w:rFonts w:hint="eastAsia" w:ascii="仿宋" w:hAnsi="仿宋" w:eastAsia="仿宋"/>
                <w:szCs w:val="21"/>
              </w:rPr>
              <w:t>共同评分因素</w:t>
            </w:r>
          </w:p>
        </w:tc>
      </w:tr>
    </w:tbl>
    <w:p>
      <w:pPr>
        <w:pStyle w:val="14"/>
        <w:pageBreakBefore w:val="0"/>
        <w:kinsoku/>
        <w:wordWrap/>
        <w:overflowPunct/>
        <w:topLinePunct w:val="0"/>
        <w:bidi w:val="0"/>
        <w:spacing w:line="240" w:lineRule="auto"/>
      </w:pPr>
      <w:r>
        <w:rPr>
          <w:rFonts w:ascii="黑体" w:hAnsi="黑体" w:eastAsia="黑体"/>
          <w:szCs w:val="21"/>
        </w:rPr>
        <w:br w:type="page"/>
      </w:r>
    </w:p>
    <w:p>
      <w:pPr>
        <w:pStyle w:val="35"/>
        <w:pageBreakBefore w:val="0"/>
        <w:kinsoku/>
        <w:wordWrap/>
        <w:overflowPunct/>
        <w:topLinePunct w:val="0"/>
        <w:bidi w:val="0"/>
        <w:spacing w:line="240" w:lineRule="auto"/>
        <w:rPr>
          <w:rFonts w:hint="eastAsia"/>
          <w:lang w:eastAsia="zh-CN"/>
        </w:rPr>
      </w:pPr>
      <w:bookmarkStart w:id="21" w:name="_Toc28076_WPSOffice_Level1"/>
      <w:r>
        <w:rPr>
          <w:rFonts w:hint="eastAsia"/>
          <w:lang w:eastAsia="zh-CN"/>
        </w:rPr>
        <w:t>第四章　采购合同</w:t>
      </w:r>
      <w:bookmarkEnd w:id="21"/>
    </w:p>
    <w:p>
      <w:pPr>
        <w:pStyle w:val="3"/>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采购合同</w:t>
      </w:r>
    </w:p>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      年　月　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采购人（甲方）：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供应商（乙方）： </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22" w:name="_Toc217446107"/>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一、</w:t>
      </w:r>
      <w:r>
        <w:rPr>
          <w:rFonts w:hint="eastAsia" w:ascii="黑体" w:hAnsi="黑体" w:eastAsia="黑体" w:cs="黑体"/>
          <w:sz w:val="24"/>
          <w:szCs w:val="24"/>
        </w:rPr>
        <w:t>合同产品</w:t>
      </w:r>
      <w:bookmarkEnd w:id="22"/>
    </w:p>
    <w:tbl>
      <w:tblPr>
        <w:tblStyle w:val="19"/>
        <w:tblW w:w="9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60"/>
        <w:gridCol w:w="1342"/>
        <w:gridCol w:w="716"/>
        <w:gridCol w:w="1212"/>
        <w:gridCol w:w="1060"/>
        <w:gridCol w:w="153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9"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包</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品目</w:t>
            </w:r>
          </w:p>
        </w:tc>
        <w:tc>
          <w:tcPr>
            <w:tcW w:w="166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产品名称</w:t>
            </w:r>
          </w:p>
        </w:tc>
        <w:tc>
          <w:tcPr>
            <w:tcW w:w="1342"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规格型号</w:t>
            </w:r>
          </w:p>
        </w:tc>
        <w:tc>
          <w:tcPr>
            <w:tcW w:w="716"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212"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单价　（万元）</w:t>
            </w:r>
          </w:p>
        </w:tc>
        <w:tc>
          <w:tcPr>
            <w:tcW w:w="106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金额　　（万元）</w:t>
            </w:r>
          </w:p>
        </w:tc>
        <w:tc>
          <w:tcPr>
            <w:tcW w:w="153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生产公司</w:t>
            </w:r>
          </w:p>
        </w:tc>
        <w:tc>
          <w:tcPr>
            <w:tcW w:w="1580" w:type="dxa"/>
            <w:vAlign w:val="center"/>
          </w:tcPr>
          <w:p>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49"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6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342" w:type="dxa"/>
            <w:vAlign w:val="center"/>
          </w:tcPr>
          <w:p>
            <w:pPr>
              <w:pageBreakBefore w:val="0"/>
              <w:widowControl/>
              <w:kinsoku/>
              <w:wordWrap/>
              <w:overflowPunct/>
              <w:topLinePunct w:val="0"/>
              <w:autoSpaceDE/>
              <w:autoSpaceDN/>
              <w:bidi w:val="0"/>
              <w:spacing w:line="240" w:lineRule="auto"/>
              <w:jc w:val="left"/>
              <w:textAlignment w:val="auto"/>
              <w:outlineLvl w:val="1"/>
              <w:rPr>
                <w:rFonts w:hint="eastAsia" w:ascii="仿宋_GB2312" w:hAnsi="仿宋_GB2312" w:eastAsia="仿宋_GB2312" w:cs="仿宋_GB2312"/>
                <w:sz w:val="24"/>
                <w:szCs w:val="24"/>
              </w:rPr>
            </w:pPr>
          </w:p>
        </w:tc>
        <w:tc>
          <w:tcPr>
            <w:tcW w:w="716"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212"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0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3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8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49"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6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342" w:type="dxa"/>
            <w:vAlign w:val="center"/>
          </w:tcPr>
          <w:p>
            <w:pPr>
              <w:pageBreakBefore w:val="0"/>
              <w:widowControl/>
              <w:kinsoku/>
              <w:wordWrap/>
              <w:overflowPunct/>
              <w:topLinePunct w:val="0"/>
              <w:autoSpaceDE/>
              <w:autoSpaceDN/>
              <w:bidi w:val="0"/>
              <w:spacing w:line="240" w:lineRule="auto"/>
              <w:jc w:val="left"/>
              <w:textAlignment w:val="auto"/>
              <w:outlineLvl w:val="1"/>
              <w:rPr>
                <w:rFonts w:hint="eastAsia" w:ascii="仿宋_GB2312" w:hAnsi="仿宋_GB2312" w:eastAsia="仿宋_GB2312" w:cs="仿宋_GB2312"/>
                <w:sz w:val="24"/>
                <w:szCs w:val="24"/>
              </w:rPr>
            </w:pPr>
          </w:p>
        </w:tc>
        <w:tc>
          <w:tcPr>
            <w:tcW w:w="716"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212"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06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3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c>
          <w:tcPr>
            <w:tcW w:w="1580" w:type="dxa"/>
            <w:vAlign w:val="center"/>
          </w:tcPr>
          <w:p>
            <w:pPr>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9849" w:type="dxa"/>
            <w:gridSpan w:val="8"/>
            <w:vAlign w:val="center"/>
          </w:tcPr>
          <w:p>
            <w:pPr>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万元   （大写：人民币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万元整）</w:t>
            </w:r>
          </w:p>
        </w:tc>
      </w:tr>
    </w:tbl>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3" w:name="_Toc217446108"/>
      <w:r>
        <w:rPr>
          <w:rFonts w:hint="eastAsia" w:ascii="黑体" w:hAnsi="黑体" w:eastAsia="黑体" w:cs="黑体"/>
          <w:sz w:val="24"/>
          <w:szCs w:val="24"/>
          <w:lang w:eastAsia="zh-CN"/>
        </w:rPr>
        <w:t>二、合同总价</w:t>
      </w:r>
      <w:bookmarkEnd w:id="23"/>
    </w:p>
    <w:p>
      <w:pPr>
        <w:pStyle w:val="6"/>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合同总价为人民币大写：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万元整，即RMB￥：</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4" w:name="_Toc217446109"/>
      <w:r>
        <w:rPr>
          <w:rFonts w:hint="eastAsia" w:ascii="黑体" w:hAnsi="黑体" w:eastAsia="黑体" w:cs="黑体"/>
          <w:sz w:val="24"/>
          <w:szCs w:val="24"/>
          <w:lang w:eastAsia="zh-CN"/>
        </w:rPr>
        <w:t>三、质量要求</w:t>
      </w:r>
      <w:bookmarkEnd w:id="24"/>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乙方须提供全新的产品（含零部件、配件等），表面无划伤、无碰撞痕迹，且权属清楚，不得侵害他人的知识产权。</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2. </w:t>
      </w:r>
      <w:r>
        <w:rPr>
          <w:rFonts w:hint="eastAsia" w:ascii="仿宋_GB2312" w:hAnsi="仿宋_GB2312" w:eastAsia="仿宋_GB2312" w:cs="仿宋_GB2312"/>
          <w:sz w:val="24"/>
          <w:szCs w:val="24"/>
        </w:rPr>
        <w:t>产品必须符合或优于国家（行业）标准，以及本项目招标文件的质量要求和技术指标与出厂标准。</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 </w:t>
      </w:r>
      <w:r>
        <w:rPr>
          <w:rFonts w:hint="eastAsia" w:ascii="仿宋_GB2312" w:hAnsi="仿宋_GB2312" w:eastAsia="仿宋_GB2312" w:cs="仿宋_GB2312"/>
          <w:sz w:val="24"/>
          <w:szCs w:val="24"/>
        </w:rPr>
        <w:t>乙方须在本合同签订生效之日起30日内送交产品；每台产品上均应有产品质量检验合格标志。</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产品制造质量出现问题，乙方应负责三包（包修、包换、包退），费用由乙方负担，甲方有权到乙方生产场地检查产品质量和生产进度。</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5. </w:t>
      </w:r>
      <w:r>
        <w:rPr>
          <w:rFonts w:hint="eastAsia" w:ascii="仿宋_GB2312" w:hAnsi="仿宋_GB2312" w:eastAsia="仿宋_GB2312" w:cs="仿宋_GB2312"/>
          <w:sz w:val="24"/>
          <w:szCs w:val="24"/>
        </w:rPr>
        <w:t>货到现场后由于甲方保管不当造成的质量问题，乙方亦应负责修理，但费用由甲方负担。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四、质量保证</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1．整机设备质保期为2年。自设备安装调试完毕、设备运行正常、甲乙双方验收合格签名确认之日起计算质保期。</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乙方应免费负责设备维修及抢修，并承担修理调换的费用。如产品经乙方3次维修仍不能达到本合同约定的质量标准，视作乙方未能按时交货，甲方有权退货并追究乙方的违约责任。乙方保证年故障率小于或等于5％（365天/年计算），若大于5％则相应延长保修期，最少顺延30天，保修期内维修机器停机的时间，在保修期内扣除后延长保修时间。（人为因素或不可抗拒的自然现象所引起的故障或破损除外）。</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提供终身服务、软件终身免费升级。提供</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年整机备件，已包含在合同价中，甲方无须另行付费。</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五、产品包装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以适合远洋/铁路/航空/陆路运输及气候变化的经过熏蒸后的坚固木箱或集装箱包装，这类包装应采取防潮、防晒、防锈、防腐蚀、防震动及防止其它损坏的必要保护措施，从而保护产品能够经受多次搬运、装卸及远洋和内陆的长途运输、包装费用由乙方承担。乙方应承担由于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如果在目的港的检疫中发现昆虫侵害，由于熏蒸或更换包装问题而产生的相关费用应由乙方负担。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包装箱内和包装箱外应分别放置装箱单和质量凭证书各一份。</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5" w:name="_Toc217446110"/>
      <w:r>
        <w:rPr>
          <w:rFonts w:hint="eastAsia" w:ascii="黑体" w:hAnsi="黑体" w:eastAsia="黑体" w:cs="黑体"/>
          <w:sz w:val="24"/>
          <w:szCs w:val="24"/>
          <w:lang w:eastAsia="zh-CN"/>
        </w:rPr>
        <w:t>六、</w:t>
      </w:r>
      <w:bookmarkEnd w:id="25"/>
      <w:r>
        <w:rPr>
          <w:rFonts w:hint="eastAsia" w:ascii="黑体" w:hAnsi="黑体" w:eastAsia="黑体" w:cs="黑体"/>
          <w:sz w:val="24"/>
          <w:szCs w:val="24"/>
          <w:lang w:eastAsia="zh-CN"/>
        </w:rPr>
        <w:t>安装调试和验收培训</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乙方提供机房设计及改造方案，设备安装、调试和培训由乙方免费提供。</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乙方应派遣有丰富经验和相应能力的工程师对设备进行现场安装调试，并对安装调试错误所导致的设备损坏承担全部赔偿责任。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设备验收在甲方的安装地点进行。在产品抵达甲方指定地点后3个工作日内，乙方应派人员抵达甲方指定地点，依据乙方提供的装箱清单、检验合格证书、使用说明书及质量标准等有关资料对产品进行安装、调试、验收，并对安装调试错误所导致的设备损坏承担全部赔偿责任，设备安装后须达到正常运行要求，保证甲方正常使用。如有短缺、规格质量不符、资料不全等，由乙方在30日内无偿给予更换、补齐，并承担由此产生的全部费用。到达现场组织安装所需的费用包括在投标总价格中。</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验收标准以招标文件技术参数及要求和相关行业标准为准。设备安装调试完毕后，按其标准进行验收，验收合格后，经双方代表签字有效。验收时甲方有权对乙方投标文件所提供的技术参数进行检查。</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无论甲方是否要求和是否知道，乙方均有义务主动及时地向甲方提供合同设备制造过程中出现的较大质量缺陷和问题，不得隐瞒。</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无论甲方人员是否参与见证及出厂检验或甲方代表参加了见证与检验，并且签了制造与检验报告，均不能视为乙方按合同规定应承担的质量保证责任的解除，也不能免除乙方对设备质量应负的责任。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其他未尽事宜应严格按照《四川省政府采购项目需求论证和履约验收管理办法》（川财采〔2015〕32号）的要求进行。</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七、资料提供</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1.原产地证明书(由制造厂签发)；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2.提供主机及配套设备的安装图纸及说明；</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3.提供主机及配套设备使用说明书、维护手册；</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4.备件手册、零件及易损件的图纸及相关资料；</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其它相关技术资料。</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6.乙方提供的技术资料应使用国家法定单位制即国际单位制。</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6" w:name="_Toc217446111"/>
      <w:r>
        <w:rPr>
          <w:rFonts w:hint="eastAsia" w:ascii="黑体" w:hAnsi="黑体" w:eastAsia="黑体" w:cs="黑体"/>
          <w:sz w:val="24"/>
          <w:szCs w:val="24"/>
          <w:lang w:eastAsia="zh-CN"/>
        </w:rPr>
        <w:t>八、付款方式</w:t>
      </w:r>
      <w:bookmarkEnd w:id="26"/>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1．所有产品在甲方使用现场交付清点无误，安装、调试完毕、资料交接完毕，经验收合格后7个工作日内，付合同总金额的30%，即人民币：    元（人民币大写：   元整），自设备安装正常运行半年后七个工作日内付合同总金额的60%，即人民币：    元（人民币大写：    元整） ，质保期内设备正常运行满一年后七个工作日内付10%，即人民币：   元（人民币大写：   元整），付清余款。</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2.乙方须向甲方出具合法有效完整的完税发票及凭证资料进行支付结算。</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3.所有在中国境外发生的银行费用和在中国境内发生的银行费用由乙方承担。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7" w:name="_Toc217446112"/>
      <w:r>
        <w:rPr>
          <w:rFonts w:hint="eastAsia" w:ascii="黑体" w:hAnsi="黑体" w:eastAsia="黑体" w:cs="黑体"/>
          <w:sz w:val="24"/>
          <w:szCs w:val="24"/>
          <w:lang w:eastAsia="zh-CN"/>
        </w:rPr>
        <w:t>九、售后服务</w:t>
      </w:r>
      <w:bookmarkEnd w:id="27"/>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2.提供有关资料及售后服务承诺。</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3.备件送达期限：在设备的使用寿命期内，乙方应保证国内不超过7天，国外不超过21天。</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4.终身零配件供应：乙方应保证设备停产后的备件供应保证10年，并以优惠的价格提供该设备所需的维修零配件。</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5.维修响应速度：设备在质保期内，乙方负责因设备本身缺陷导致的各种故障的免费技术服务和设备的维修，维修2小时响应，如48小时内未解决问题，每停机超过1天，质保期顺延1天。</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6.质量保证期后，乙方应保证设备生产商和/或其售后服务商在接到甲方通知后，及时派工程师到甲方现场，同时提供优质的技术服务和完整的备件供应。</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7.乙方应保证在投标文件中声明其或设备生产商终身售后服务方式和能力。</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8" w:name="_Toc217446113"/>
      <w:r>
        <w:rPr>
          <w:rFonts w:hint="eastAsia" w:ascii="黑体" w:hAnsi="黑体" w:eastAsia="黑体" w:cs="黑体"/>
          <w:sz w:val="24"/>
          <w:szCs w:val="24"/>
          <w:lang w:eastAsia="zh-CN"/>
        </w:rPr>
        <w:t>十、违约责任</w:t>
      </w:r>
      <w:bookmarkEnd w:id="28"/>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1、甲方违约责任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（1）甲方无正当理由拒收产品的，甲方应支付合同总价百分之 二十 的违约金；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（2）甲方逾期支付货款的，除应及时付足货款外，应向乙方支付产品欠款总额万分之 三/日的违约金。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2、乙方违约责任</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（1）乙方交付的产品质量不符合本合同约定的，乙方应向甲方支付合同总价百分之 二十 的违约金，并须在本合同约定的交货时间内更换合格的产品给甲方，否则，视作乙方不能交付产品而违约，按本条本款下述第“（2）”项约定由乙方支付违约金支付给甲方。</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（2）乙方不能交付产品或逾期交付产品的，除应及时交足产品外，应向甲方支付逾期交货部分货款总额的万分之 三  /日的违约金；逾期交货超过30日，甲方有权终止本合同，乙方应按未交付产品总价百分之二十的向甲方支付违约金。</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（3）如果产品质量出现问题，根据情况甲方可送交具有法定资格的质量技术监督机构检测，如检测结果认定产品质量不符合本合同约定标准的，则视为乙方没有按时交货，乙方须在  十日内无条件更换合格的产品，如逾期不能更换合格的产品，需方有权终止本合同，乙方应支付交付产品总价百分之 二十  的违约金给甲方。</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 二十  向甲方支付违约金并赔偿因此给甲方造成的一切损失。</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（5）乙方偿付的违约金不足以弥补甲方损失的，还应按甲方损失尚未弥补的部分进行赔偿。</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29" w:name="_Toc217446114"/>
      <w:r>
        <w:rPr>
          <w:rFonts w:hint="eastAsia" w:ascii="黑体" w:hAnsi="黑体" w:eastAsia="黑体" w:cs="黑体"/>
          <w:sz w:val="24"/>
          <w:szCs w:val="24"/>
          <w:lang w:eastAsia="zh-CN"/>
        </w:rPr>
        <w:t>十一、争议解决办法</w:t>
      </w:r>
      <w:bookmarkEnd w:id="29"/>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1、因产品的质量问题发生争议，由质量技术监督部门或其指定的质量鉴定机构进行质量鉴定。产品符合标准的，鉴定费由甲方承担；产品不符合质量标准的，鉴定费由乙方承担。</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2、合同履行期间,若双方发生争议，可协商或由有关部门调解解决，协商或调解不成的，争端应提交甲方所在地人民法院诉讼。</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黑体" w:hAnsi="黑体" w:eastAsia="黑体" w:cs="黑体"/>
          <w:sz w:val="24"/>
          <w:szCs w:val="24"/>
          <w:lang w:eastAsia="zh-CN"/>
        </w:rPr>
      </w:pPr>
      <w:bookmarkStart w:id="30" w:name="_Toc217446115"/>
      <w:r>
        <w:rPr>
          <w:rFonts w:hint="eastAsia" w:ascii="黑体" w:hAnsi="黑体" w:eastAsia="黑体" w:cs="黑体"/>
          <w:sz w:val="24"/>
          <w:szCs w:val="24"/>
          <w:lang w:eastAsia="zh-CN"/>
        </w:rPr>
        <w:t>十二、其他</w:t>
      </w:r>
      <w:bookmarkEnd w:id="30"/>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1、如有未尽事宜，由甲乙双方协商解决或依法订立补充合同。</w:t>
      </w:r>
    </w:p>
    <w:p>
      <w:pPr>
        <w:pStyle w:val="31"/>
        <w:pageBreakBefore w:val="0"/>
        <w:kinsoku/>
        <w:wordWrap/>
        <w:overflowPunct/>
        <w:topLinePunct w:val="0"/>
        <w:autoSpaceDE/>
        <w:autoSpaceDN/>
        <w:bidi w:val="0"/>
        <w:spacing w:after="160"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2、本合同一式六份，自双方签章之日起生效。甲方三份，乙方、政府采购管理部门、采购代理机构各一份。</w:t>
      </w:r>
    </w:p>
    <w:p>
      <w:pPr>
        <w:pStyle w:val="9"/>
        <w:pageBreakBefore w:val="0"/>
        <w:kinsoku/>
        <w:wordWrap/>
        <w:overflowPunct/>
        <w:topLinePunct w:val="0"/>
        <w:autoSpaceDE/>
        <w:autoSpaceDN/>
        <w:bidi w:val="0"/>
        <w:adjustRightInd w:val="0"/>
        <w:snapToGrid w:val="0"/>
        <w:spacing w:after="160" w:line="240" w:lineRule="auto"/>
        <w:textAlignment w:val="auto"/>
        <w:rPr>
          <w:rFonts w:hint="eastAsia" w:ascii="仿宋_GB2312" w:hAnsi="仿宋_GB2312" w:eastAsia="仿宋_GB2312" w:cs="仿宋_GB2312"/>
          <w:spacing w:val="-26"/>
          <w:sz w:val="24"/>
          <w:szCs w:val="24"/>
        </w:rPr>
      </w:pPr>
    </w:p>
    <w:tbl>
      <w:tblPr>
        <w:tblStyle w:val="20"/>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联系QQ</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联系QQ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pStyle w:val="9"/>
        <w:pageBreakBefore w:val="0"/>
        <w:kinsoku/>
        <w:wordWrap/>
        <w:overflowPunct/>
        <w:topLinePunct w:val="0"/>
        <w:autoSpaceDE/>
        <w:autoSpaceDN/>
        <w:bidi w:val="0"/>
        <w:adjustRightInd w:val="0"/>
        <w:snapToGrid w:val="0"/>
        <w:spacing w:line="240" w:lineRule="auto"/>
        <w:ind w:firstLine="376" w:firstLineChars="200"/>
        <w:textAlignment w:val="auto"/>
        <w:rPr>
          <w:rFonts w:hint="eastAsia" w:ascii="仿宋_GB2312" w:hAnsi="仿宋_GB2312" w:eastAsia="仿宋_GB2312" w:cs="仿宋_GB2312"/>
          <w:spacing w:val="-26"/>
          <w:sz w:val="24"/>
          <w:szCs w:val="24"/>
        </w:rPr>
      </w:pPr>
      <w:r>
        <w:rPr>
          <w:rFonts w:hint="eastAsia" w:ascii="仿宋_GB2312" w:hAnsi="仿宋_GB2312" w:eastAsia="仿宋_GB2312" w:cs="仿宋_GB2312"/>
          <w:spacing w:val="-26"/>
          <w:sz w:val="24"/>
          <w:szCs w:val="24"/>
        </w:rPr>
        <w:br w:type="page"/>
      </w:r>
    </w:p>
    <w:p>
      <w:pPr>
        <w:spacing w:line="400" w:lineRule="exact"/>
        <w:rPr>
          <w:rFonts w:hint="eastAsia" w:ascii="仿宋" w:hAnsi="仿宋" w:eastAsia="仿宋"/>
          <w:lang w:eastAsia="zh-CN"/>
        </w:rPr>
      </w:pPr>
      <w:r>
        <w:rPr>
          <w:rFonts w:hint="eastAsia" w:ascii="仿宋" w:hAnsi="仿宋" w:eastAsia="仿宋"/>
          <w:lang w:eastAsia="zh-CN"/>
        </w:rPr>
        <w:t>合同附件一：</w:t>
      </w:r>
    </w:p>
    <w:p>
      <w:pPr>
        <w:spacing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设备零配件清单</w:t>
      </w:r>
    </w:p>
    <w:tbl>
      <w:tblPr>
        <w:tblStyle w:val="20"/>
        <w:tblW w:w="863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15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产品名称</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规格型号</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生产公司</w:t>
            </w:r>
          </w:p>
        </w:tc>
        <w:tc>
          <w:tcPr>
            <w:tcW w:w="1479"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注册证</w:t>
            </w:r>
          </w:p>
        </w:tc>
        <w:tc>
          <w:tcPr>
            <w:tcW w:w="651"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单位</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价格（元）</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bl>
    <w:p>
      <w:pPr>
        <w:pStyle w:val="9"/>
        <w:adjustRightInd w:val="0"/>
        <w:snapToGrid w:val="0"/>
        <w:spacing w:line="460" w:lineRule="atLeast"/>
        <w:ind w:firstLine="376" w:firstLineChars="200"/>
        <w:rPr>
          <w:rFonts w:hint="eastAsia" w:ascii="仿宋" w:hAnsi="仿宋" w:eastAsia="仿宋"/>
          <w:spacing w:val="-26"/>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pageBreakBefore w:val="0"/>
        <w:kinsoku/>
        <w:wordWrap/>
        <w:overflowPunct/>
        <w:topLinePunct w:val="0"/>
        <w:bidi w:val="0"/>
        <w:spacing w:line="240" w:lineRule="auto"/>
        <w:rPr>
          <w:rFonts w:hint="eastAsia" w:ascii="仿宋_GB2312" w:hAnsi="仿宋" w:eastAsia="仿宋_GB2312"/>
          <w:szCs w:val="21"/>
        </w:rPr>
      </w:pPr>
    </w:p>
    <w:p>
      <w:pPr>
        <w:pageBreakBefore w:val="0"/>
        <w:widowControl/>
        <w:kinsoku/>
        <w:wordWrap/>
        <w:overflowPunct/>
        <w:topLinePunct w:val="0"/>
        <w:bidi w:val="0"/>
        <w:spacing w:line="240" w:lineRule="auto"/>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pageBreakBefore w:val="0"/>
        <w:kinsoku/>
        <w:wordWrap/>
        <w:overflowPunct/>
        <w:topLinePunct w:val="0"/>
        <w:bidi w:val="0"/>
        <w:spacing w:line="240" w:lineRule="auto"/>
        <w:rPr>
          <w:rFonts w:hint="eastAsia"/>
        </w:rPr>
      </w:pPr>
      <w:bookmarkStart w:id="31" w:name="_Toc4802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1"/>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pageBreakBefore w:val="0"/>
              <w:kinsoku/>
              <w:wordWrap/>
              <w:overflowPunct/>
              <w:topLinePunct w:val="0"/>
              <w:bidi w:val="0"/>
              <w:spacing w:line="240" w:lineRule="auto"/>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hint="eastAsia" w:ascii="仿宋_GB2312" w:eastAsia="仿宋_GB2312"/>
              </w:rPr>
            </w:pPr>
          </w:p>
        </w:tc>
        <w:tc>
          <w:tcPr>
            <w:tcW w:w="6117" w:type="dxa"/>
            <w:vAlign w:val="center"/>
          </w:tcPr>
          <w:p>
            <w:pPr>
              <w:pageBreakBefore w:val="0"/>
              <w:kinsoku/>
              <w:wordWrap/>
              <w:overflowPunct/>
              <w:topLinePunct w:val="0"/>
              <w:bidi w:val="0"/>
              <w:spacing w:line="240" w:lineRule="auto"/>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hint="eastAsia" w:ascii="仿宋_GB2312" w:eastAsia="仿宋_GB2312"/>
              </w:rPr>
            </w:pPr>
            <w:r>
              <w:rPr>
                <w:rFonts w:hint="eastAsia" w:ascii="仿宋_GB2312" w:eastAsia="仿宋_GB2312"/>
                <w:lang w:eastAsia="zh-CN"/>
              </w:rPr>
              <w:t>投标产品</w:t>
            </w:r>
            <w:r>
              <w:rPr>
                <w:rFonts w:hint="eastAsia" w:ascii="仿宋_GB2312" w:eastAsia="仿宋_GB2312"/>
              </w:rPr>
              <w:t>零配件价格表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pageBreakBefore w:val="0"/>
              <w:kinsoku/>
              <w:wordWrap/>
              <w:overflowPunct/>
              <w:topLinePunct w:val="0"/>
              <w:bidi w:val="0"/>
              <w:spacing w:line="240" w:lineRule="auto"/>
              <w:rPr>
                <w:rFonts w:ascii="仿宋_GB2312" w:eastAsia="仿宋_GB2312"/>
              </w:rPr>
            </w:pPr>
          </w:p>
        </w:tc>
        <w:tc>
          <w:tcPr>
            <w:tcW w:w="6117"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pageBreakBefore w:val="0"/>
              <w:kinsoku/>
              <w:wordWrap/>
              <w:overflowPunct/>
              <w:topLinePunct w:val="0"/>
              <w:bidi w:val="0"/>
              <w:spacing w:line="240" w:lineRule="auto"/>
              <w:rPr>
                <w:rFonts w:ascii="仿宋_GB2312" w:eastAsia="仿宋_GB2312"/>
              </w:rPr>
            </w:pPr>
            <w:r>
              <w:rPr>
                <w:rFonts w:hint="eastAsia" w:ascii="仿宋_GB2312" w:eastAsia="仿宋_GB2312" w:hAnsiTheme="minorEastAsia"/>
              </w:rPr>
              <w:t>备注</w:t>
            </w:r>
          </w:p>
        </w:tc>
        <w:tc>
          <w:tcPr>
            <w:tcW w:w="6117" w:type="dxa"/>
            <w:vAlign w:val="center"/>
          </w:tcPr>
          <w:p>
            <w:pPr>
              <w:pageBreakBefore w:val="0"/>
              <w:kinsoku/>
              <w:wordWrap/>
              <w:overflowPunct/>
              <w:topLinePunct w:val="0"/>
              <w:bidi w:val="0"/>
              <w:spacing w:line="240" w:lineRule="auto"/>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pageBreakBefore w:val="0"/>
        <w:kinsoku/>
        <w:wordWrap/>
        <w:overflowPunct/>
        <w:topLinePunct w:val="0"/>
        <w:bidi w:val="0"/>
        <w:spacing w:line="240" w:lineRule="auto"/>
        <w:rPr>
          <w:rFonts w:hint="eastAsia"/>
          <w:lang w:eastAsia="zh-CN"/>
        </w:rPr>
      </w:pPr>
      <w:bookmarkStart w:id="32" w:name="_Toc24734_WPSOffice_Level1"/>
      <w:r>
        <w:rPr>
          <w:rFonts w:hint="eastAsia"/>
          <w:lang w:eastAsia="zh-CN"/>
        </w:rPr>
        <w:t>第四章　报名表及</w:t>
      </w:r>
      <w:r>
        <w:rPr>
          <w:rFonts w:hint="eastAsia"/>
        </w:rPr>
        <w:t>投标文件格</w:t>
      </w:r>
      <w:r>
        <w:rPr>
          <w:rFonts w:hint="eastAsia"/>
          <w:lang w:eastAsia="zh-CN"/>
        </w:rPr>
        <w:t>式</w:t>
      </w:r>
      <w:bookmarkEnd w:id="32"/>
    </w:p>
    <w:p>
      <w:pPr>
        <w:pageBreakBefore w:val="0"/>
        <w:kinsoku/>
        <w:wordWrap/>
        <w:overflowPunct/>
        <w:topLinePunct w:val="0"/>
        <w:bidi w:val="0"/>
        <w:spacing w:line="240" w:lineRule="auto"/>
        <w:rPr>
          <w:rFonts w:hint="eastAsia" w:ascii="仿宋_GB2312" w:hAnsi="仿宋_GB2312" w:eastAsia="仿宋_GB2312" w:cs="仿宋_GB2312"/>
          <w:sz w:val="24"/>
          <w:szCs w:val="24"/>
          <w:lang w:eastAsia="zh-CN"/>
        </w:rPr>
      </w:pPr>
      <w:bookmarkStart w:id="33" w:name="_Toc10395_WPSOffice_Level1"/>
      <w:bookmarkStart w:id="34" w:name="_Toc13598_WPSOffice_Level1"/>
      <w:r>
        <w:rPr>
          <w:rFonts w:hint="eastAsia" w:ascii="仿宋_GB2312" w:hAnsi="仿宋_GB2312" w:eastAsia="仿宋_GB2312" w:cs="仿宋_GB2312"/>
          <w:sz w:val="24"/>
          <w:szCs w:val="24"/>
          <w:lang w:eastAsia="zh-CN"/>
        </w:rPr>
        <w:t>格式</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：报名表</w:t>
      </w:r>
      <w:bookmarkEnd w:id="33"/>
      <w:bookmarkEnd w:id="34"/>
    </w:p>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台式灭菌器等医用设备采购项目</w:t>
      </w:r>
    </w:p>
    <w:tbl>
      <w:tblPr>
        <w:tblStyle w:val="20"/>
        <w:tblW w:w="821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507"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7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304"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87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2258" w:type="dxa"/>
            <w:vAlign w:val="center"/>
          </w:tcPr>
          <w:p>
            <w:pPr>
              <w:pageBreakBefore w:val="0"/>
              <w:kinsoku/>
              <w:wordWrap/>
              <w:overflowPunct/>
              <w:topLinePunct w:val="0"/>
              <w:bidi w:val="0"/>
              <w:spacing w:line="240" w:lineRule="auto"/>
              <w:jc w:val="center"/>
              <w:rPr>
                <w:rFonts w:hint="eastAsia" w:ascii="仿宋_GB2312"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507"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7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04"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87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225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bl>
    <w:p>
      <w:pPr>
        <w:pageBreakBefore w:val="0"/>
        <w:kinsoku/>
        <w:wordWrap/>
        <w:overflowPunct/>
        <w:topLinePunct w:val="0"/>
        <w:bidi w:val="0"/>
        <w:spacing w:line="240" w:lineRule="auto"/>
        <w:jc w:val="center"/>
        <w:rPr>
          <w:rFonts w:hint="eastAsia" w:ascii="仿宋_GB2312" w:hAnsi="仿宋_GB2312" w:eastAsia="仿宋_GB2312" w:cs="仿宋_GB2312"/>
          <w:sz w:val="24"/>
          <w:szCs w:val="24"/>
        </w:rPr>
      </w:pPr>
    </w:p>
    <w:p>
      <w:pPr>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pageBreakBefore w:val="0"/>
        <w:kinsoku/>
        <w:wordWrap/>
        <w:overflowPunct/>
        <w:topLinePunct w:val="0"/>
        <w:bidi w:val="0"/>
        <w:spacing w:line="240" w:lineRule="auto"/>
        <w:rPr>
          <w:rFonts w:hint="eastAsia" w:ascii="仿宋_GB2312" w:hAnsi="仿宋_GB2312" w:eastAsia="仿宋_GB2312" w:cs="仿宋_GB2312"/>
          <w:sz w:val="24"/>
          <w:szCs w:val="24"/>
        </w:rPr>
      </w:pPr>
    </w:p>
    <w:p>
      <w:pPr>
        <w:pageBreakBefore w:val="0"/>
        <w:kinsoku/>
        <w:wordWrap/>
        <w:overflowPunct/>
        <w:topLinePunct w:val="0"/>
        <w:bidi w:val="0"/>
        <w:spacing w:line="240" w:lineRule="auto"/>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pageBreakBefore w:val="0"/>
        <w:kinsoku/>
        <w:wordWrap/>
        <w:overflowPunct/>
        <w:topLinePunct w:val="0"/>
        <w:bidi w:val="0"/>
        <w:spacing w:line="240" w:lineRule="auto"/>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pageBreakBefore w:val="0"/>
        <w:widowControl/>
        <w:kinsoku/>
        <w:wordWrap/>
        <w:overflowPunct/>
        <w:topLinePunct w:val="0"/>
        <w:bidi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pageBreakBefore w:val="0"/>
        <w:widowControl/>
        <w:kinsoku/>
        <w:wordWrap/>
        <w:overflowPunct/>
        <w:topLinePunct w:val="0"/>
        <w:bidi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ageBreakBefore w:val="0"/>
        <w:tabs>
          <w:tab w:val="left" w:pos="900"/>
        </w:tabs>
        <w:kinsoku/>
        <w:wordWrap/>
        <w:overflowPunct/>
        <w:topLinePunct w:val="0"/>
        <w:bidi w:val="0"/>
        <w:spacing w:line="240" w:lineRule="auto"/>
        <w:jc w:val="left"/>
        <w:rPr>
          <w:rFonts w:hint="eastAsia" w:ascii="仿宋_GB2312" w:hAnsi="仿宋_GB2312" w:eastAsia="仿宋_GB2312" w:cs="仿宋_GB2312"/>
          <w:b w:val="0"/>
          <w:bCs/>
          <w:sz w:val="24"/>
          <w:szCs w:val="24"/>
          <w:lang w:eastAsia="zh-CN"/>
        </w:rPr>
      </w:pPr>
      <w:bookmarkStart w:id="35" w:name="_Toc898_WPSOffice_Level1"/>
      <w:bookmarkStart w:id="36" w:name="_Toc23827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lang w:eastAsia="zh-CN"/>
        </w:rPr>
        <w:t>：封面</w:t>
      </w:r>
      <w:bookmarkEnd w:id="35"/>
      <w:bookmarkEnd w:id="36"/>
    </w:p>
    <w:p>
      <w:pPr>
        <w:pageBreakBefore w:val="0"/>
        <w:kinsoku/>
        <w:wordWrap/>
        <w:overflowPunct/>
        <w:topLinePunct w:val="0"/>
        <w:bidi w:val="0"/>
        <w:spacing w:line="24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pageBreakBefore w:val="0"/>
        <w:kinsoku/>
        <w:wordWrap/>
        <w:overflowPunct/>
        <w:topLinePunct w:val="0"/>
        <w:bidi w:val="0"/>
        <w:spacing w:line="240" w:lineRule="auto"/>
        <w:rPr>
          <w:rFonts w:hint="eastAsia" w:ascii="仿宋_GB2312" w:hAnsi="仿宋_GB2312" w:eastAsia="仿宋_GB2312" w:cs="仿宋_GB2312"/>
          <w:sz w:val="24"/>
          <w:szCs w:val="24"/>
        </w:rPr>
      </w:pPr>
    </w:p>
    <w:p>
      <w:pPr>
        <w:pageBreakBefore w:val="0"/>
        <w:kinsoku/>
        <w:wordWrap/>
        <w:overflowPunct/>
        <w:topLinePunct w:val="0"/>
        <w:bidi w:val="0"/>
        <w:spacing w:line="240" w:lineRule="auto"/>
        <w:rPr>
          <w:rFonts w:hint="eastAsia" w:ascii="仿宋_GB2312" w:hAnsi="仿宋_GB2312" w:eastAsia="仿宋_GB2312" w:cs="仿宋_GB2312"/>
          <w:sz w:val="44"/>
          <w:szCs w:val="44"/>
        </w:rPr>
      </w:pPr>
    </w:p>
    <w:p>
      <w:pPr>
        <w:pageBreakBefore w:val="0"/>
        <w:kinsoku/>
        <w:wordWrap/>
        <w:overflowPunct/>
        <w:topLinePunct w:val="0"/>
        <w:bidi w:val="0"/>
        <w:spacing w:line="24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pageBreakBefore w:val="0"/>
        <w:kinsoku/>
        <w:wordWrap/>
        <w:overflowPunct/>
        <w:topLinePunct w:val="0"/>
        <w:bidi w:val="0"/>
        <w:spacing w:line="240" w:lineRule="auto"/>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pageBreakBefore w:val="0"/>
        <w:kinsoku/>
        <w:wordWrap/>
        <w:overflowPunct/>
        <w:topLinePunct w:val="0"/>
        <w:bidi w:val="0"/>
        <w:spacing w:line="240" w:lineRule="auto"/>
        <w:rPr>
          <w:rFonts w:hint="eastAsia" w:ascii="仿宋_GB2312" w:hAnsi="仿宋_GB2312" w:eastAsia="仿宋_GB2312" w:cs="仿宋_GB2312"/>
          <w:sz w:val="24"/>
          <w:szCs w:val="24"/>
        </w:rPr>
      </w:pPr>
    </w:p>
    <w:p>
      <w:pPr>
        <w:pageBreakBefore w:val="0"/>
        <w:kinsoku/>
        <w:wordWrap/>
        <w:overflowPunct/>
        <w:topLinePunct w:val="0"/>
        <w:bidi w:val="0"/>
        <w:spacing w:line="24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pageBreakBefore w:val="0"/>
        <w:kinsoku/>
        <w:wordWrap/>
        <w:overflowPunct/>
        <w:topLinePunct w:val="0"/>
        <w:bidi w:val="0"/>
        <w:spacing w:line="240" w:lineRule="auto"/>
        <w:ind w:firstLine="590" w:firstLineChars="246"/>
        <w:jc w:val="center"/>
        <w:rPr>
          <w:rFonts w:hint="eastAsia" w:ascii="仿宋_GB2312" w:hAnsi="仿宋_GB2312" w:eastAsia="仿宋_GB2312" w:cs="仿宋_GB2312"/>
          <w:sz w:val="24"/>
          <w:szCs w:val="24"/>
        </w:rPr>
      </w:pPr>
    </w:p>
    <w:p>
      <w:pPr>
        <w:pageBreakBefore w:val="0"/>
        <w:kinsoku/>
        <w:wordWrap/>
        <w:overflowPunct/>
        <w:topLinePunct w:val="0"/>
        <w:bidi w:val="0"/>
        <w:spacing w:line="24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pageBreakBefore w:val="0"/>
        <w:kinsoku/>
        <w:wordWrap/>
        <w:overflowPunct/>
        <w:topLinePunct w:val="0"/>
        <w:bidi w:val="0"/>
        <w:spacing w:line="24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eastAsia="zh-CN"/>
        </w:rPr>
      </w:pPr>
      <w:bookmarkStart w:id="37" w:name="_Toc2263_WPSOffice_Level1"/>
      <w:bookmarkStart w:id="38" w:name="_Toc5577_WPSOffice_Level1"/>
      <w:r>
        <w:rPr>
          <w:rFonts w:hint="eastAsia" w:ascii="仿宋_GB2312" w:hAnsi="仿宋_GB2312" w:eastAsia="仿宋_GB2312" w:cs="仿宋_GB2312"/>
          <w:sz w:val="24"/>
          <w:szCs w:val="24"/>
          <w:lang w:eastAsia="zh-CN"/>
        </w:rPr>
        <w:t>格式</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：目录</w:t>
      </w:r>
      <w:bookmarkEnd w:id="37"/>
      <w:bookmarkEnd w:id="38"/>
    </w:p>
    <w:p>
      <w:pPr>
        <w:pStyle w:val="2"/>
        <w:pageBreakBefore w:val="0"/>
        <w:kinsoku/>
        <w:wordWrap/>
        <w:overflowPunct/>
        <w:topLinePunct w:val="0"/>
        <w:bidi w:val="0"/>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pageBreakBefore w:val="0"/>
        <w:kinsoku/>
        <w:wordWrap/>
        <w:overflowPunct/>
        <w:topLinePunct w:val="0"/>
        <w:bidi w:val="0"/>
        <w:spacing w:line="240" w:lineRule="auto"/>
        <w:jc w:val="center"/>
        <w:rPr>
          <w:rFonts w:hint="eastAsia" w:ascii="仿宋_GB2312" w:hAnsi="仿宋_GB2312" w:eastAsia="仿宋_GB2312" w:cs="仿宋_GB2312"/>
          <w:sz w:val="24"/>
          <w:szCs w:val="24"/>
          <w:lang w:eastAsia="zh-CN"/>
        </w:rPr>
      </w:pP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2.投标产品零配件价格表......................................X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3.投标应答表................................................X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4.法定代表人/单位负责人授权书...............................X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5.承诺函....................................................X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6.投标人基本情况表..........................................X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7.投标人资质................................................X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8.投标项目销售资格授权......................................X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9.生产商资质................................................X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11.采购要求的其他资料.......................................X</w:t>
      </w:r>
    </w:p>
    <w:p>
      <w:pPr>
        <w:pStyle w:val="2"/>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p>
    <w:p>
      <w:pPr>
        <w:pageBreakBefore w:val="0"/>
        <w:kinsoku/>
        <w:wordWrap/>
        <w:overflowPunct/>
        <w:topLinePunct w:val="0"/>
        <w:bidi w:val="0"/>
        <w:spacing w:line="24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bookmarkStart w:id="39" w:name="_Toc12202_WPSOffice_Level1"/>
      <w:bookmarkStart w:id="40" w:name="_Toc14102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4.1</w:t>
      </w:r>
      <w:r>
        <w:rPr>
          <w:rFonts w:hint="eastAsia" w:ascii="仿宋_GB2312" w:hAnsi="仿宋_GB2312" w:eastAsia="仿宋_GB2312" w:cs="仿宋_GB2312"/>
          <w:b w:val="0"/>
          <w:bCs/>
          <w:sz w:val="24"/>
          <w:szCs w:val="24"/>
          <w:lang w:eastAsia="zh-CN"/>
        </w:rPr>
        <w:t>：开标一览表</w:t>
      </w:r>
      <w:bookmarkEnd w:id="39"/>
      <w:bookmarkEnd w:id="4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41" w:name="_Toc217446085"/>
      <w:r>
        <w:rPr>
          <w:rFonts w:hint="eastAsia" w:ascii="仿宋_GB2312" w:hAnsi="仿宋_GB2312" w:eastAsia="仿宋_GB2312" w:cs="仿宋_GB2312"/>
          <w:b w:val="0"/>
          <w:bCs/>
          <w:sz w:val="24"/>
          <w:szCs w:val="24"/>
        </w:rPr>
        <w:t>开标一览表</w:t>
      </w:r>
      <w:bookmarkEnd w:id="4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台式灭菌器等医用设备采购项目</w:t>
      </w:r>
    </w:p>
    <w:tbl>
      <w:tblPr>
        <w:tblStyle w:val="20"/>
        <w:tblW w:w="8624"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33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153"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722"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36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1479" w:type="dxa"/>
            <w:vAlign w:val="center"/>
          </w:tcPr>
          <w:p>
            <w:pPr>
              <w:pageBreakBefore w:val="0"/>
              <w:kinsoku/>
              <w:wordWrap/>
              <w:overflowPunct/>
              <w:topLinePunct w:val="0"/>
              <w:bidi w:val="0"/>
              <w:spacing w:line="240" w:lineRule="auto"/>
              <w:jc w:val="center"/>
              <w:rPr>
                <w:rFonts w:hint="eastAsia" w:ascii="仿宋_GB2312" w:eastAsia="仿宋_GB2312"/>
                <w:sz w:val="21"/>
                <w:szCs w:val="21"/>
                <w:lang w:eastAsia="zh-CN"/>
              </w:rPr>
            </w:pP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73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895"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c>
          <w:tcPr>
            <w:tcW w:w="888"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33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153"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22"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36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1479"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731"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95"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c>
          <w:tcPr>
            <w:tcW w:w="888" w:type="dxa"/>
          </w:tcPr>
          <w:p>
            <w:pPr>
              <w:pageBreakBefore w:val="0"/>
              <w:kinsoku/>
              <w:wordWrap/>
              <w:overflowPunct/>
              <w:topLinePunct w:val="0"/>
              <w:bidi w:val="0"/>
              <w:spacing w:line="240" w:lineRule="auto"/>
              <w:jc w:val="center"/>
              <w:rPr>
                <w:rFonts w:hint="eastAsia" w:ascii="仿宋_GB2312" w:hAnsi="仿宋_GB2312" w:eastAsia="仿宋_GB2312" w:cs="仿宋_GB2312"/>
                <w:sz w:val="21"/>
                <w:szCs w:val="21"/>
                <w:vertAlign w:val="baseline"/>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br w:type="page"/>
      </w:r>
    </w:p>
    <w:p>
      <w:pPr>
        <w:widowControl/>
        <w:jc w:val="left"/>
        <w:rPr>
          <w:rFonts w:hint="eastAsia" w:ascii="仿宋_GB2312" w:hAnsi="仿宋_GB2312" w:eastAsia="仿宋_GB2312" w:cs="仿宋_GB2312"/>
          <w:b w:val="0"/>
          <w:bCs/>
          <w:kern w:val="0"/>
          <w:sz w:val="24"/>
        </w:rPr>
      </w:pPr>
      <w:bookmarkStart w:id="42" w:name="_Toc27624_WPSOffice_Level1"/>
      <w:bookmarkStart w:id="43" w:name="_Toc6480_WPSOffice_Level1"/>
      <w:r>
        <w:rPr>
          <w:rFonts w:hint="eastAsia" w:ascii="仿宋_GB2312" w:hAnsi="仿宋_GB2312" w:eastAsia="仿宋_GB2312" w:cs="仿宋_GB2312"/>
          <w:b w:val="0"/>
          <w:bCs/>
          <w:kern w:val="0"/>
          <w:sz w:val="24"/>
          <w:lang w:eastAsia="zh-CN"/>
        </w:rPr>
        <w:t>格式</w:t>
      </w:r>
      <w:r>
        <w:rPr>
          <w:rFonts w:hint="eastAsia" w:ascii="仿宋_GB2312" w:hAnsi="仿宋_GB2312" w:eastAsia="仿宋_GB2312" w:cs="仿宋_GB2312"/>
          <w:b w:val="0"/>
          <w:bCs/>
          <w:kern w:val="0"/>
          <w:sz w:val="24"/>
          <w:lang w:val="en-US" w:eastAsia="zh-CN"/>
        </w:rPr>
        <w:t>4.2</w:t>
      </w:r>
      <w:r>
        <w:rPr>
          <w:rFonts w:hint="eastAsia" w:ascii="仿宋_GB2312" w:hAnsi="仿宋_GB2312" w:eastAsia="仿宋_GB2312" w:cs="仿宋_GB2312"/>
          <w:b w:val="0"/>
          <w:bCs/>
          <w:kern w:val="0"/>
          <w:sz w:val="24"/>
          <w:lang w:eastAsia="zh-CN"/>
        </w:rPr>
        <w:t>投标产品</w:t>
      </w:r>
      <w:r>
        <w:rPr>
          <w:rFonts w:hint="eastAsia" w:ascii="仿宋_GB2312" w:hAnsi="仿宋_GB2312" w:eastAsia="仿宋_GB2312" w:cs="仿宋_GB2312"/>
          <w:b w:val="0"/>
          <w:bCs/>
          <w:kern w:val="0"/>
          <w:sz w:val="24"/>
        </w:rPr>
        <w:t>零配件价格表</w:t>
      </w:r>
      <w:bookmarkEnd w:id="42"/>
      <w:bookmarkEnd w:id="43"/>
    </w:p>
    <w:p>
      <w:pPr>
        <w:widowControl/>
        <w:jc w:val="left"/>
        <w:rPr>
          <w:rFonts w:hint="eastAsia" w:ascii="仿宋_GB2312" w:hAnsi="仿宋_GB2312" w:eastAsia="仿宋_GB2312" w:cs="仿宋_GB2312"/>
          <w:b w:val="0"/>
          <w:bCs/>
          <w:kern w:val="0"/>
          <w:sz w:val="24"/>
          <w:lang w:val="en-US" w:eastAsia="zh-CN"/>
        </w:rPr>
      </w:pPr>
    </w:p>
    <w:p>
      <w:pPr>
        <w:widowControl/>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lang w:eastAsia="zh-CN"/>
        </w:rPr>
        <w:t>投标产品</w:t>
      </w:r>
      <w:r>
        <w:rPr>
          <w:rFonts w:hint="eastAsia" w:ascii="仿宋_GB2312" w:hAnsi="仿宋_GB2312" w:eastAsia="仿宋_GB2312" w:cs="仿宋_GB2312"/>
          <w:b w:val="0"/>
          <w:bCs/>
          <w:kern w:val="0"/>
          <w:sz w:val="24"/>
          <w:u w:val="single"/>
          <w:lang w:eastAsia="zh-CN"/>
        </w:rPr>
        <w:t>　　　</w:t>
      </w:r>
      <w:r>
        <w:rPr>
          <w:rFonts w:hint="eastAsia" w:ascii="仿宋_GB2312" w:hAnsi="仿宋_GB2312" w:eastAsia="仿宋_GB2312" w:cs="仿宋_GB2312"/>
          <w:b w:val="0"/>
          <w:bCs/>
          <w:kern w:val="0"/>
          <w:sz w:val="24"/>
        </w:rPr>
        <w:t>零配件价格表</w:t>
      </w:r>
    </w:p>
    <w:tbl>
      <w:tblPr>
        <w:tblStyle w:val="20"/>
        <w:tblW w:w="863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15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产品名称</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规格型号</w:t>
            </w:r>
          </w:p>
        </w:tc>
        <w:tc>
          <w:tcPr>
            <w:tcW w:w="1065"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生产公司</w:t>
            </w:r>
          </w:p>
        </w:tc>
        <w:tc>
          <w:tcPr>
            <w:tcW w:w="1479"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注册证</w:t>
            </w:r>
          </w:p>
        </w:tc>
        <w:tc>
          <w:tcPr>
            <w:tcW w:w="651"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单位</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价格（元）</w:t>
            </w:r>
          </w:p>
        </w:tc>
        <w:tc>
          <w:tcPr>
            <w:tcW w:w="1066" w:type="dxa"/>
            <w:vAlign w:val="center"/>
          </w:tcPr>
          <w:p>
            <w:pPr>
              <w:spacing w:line="400" w:lineRule="exact"/>
              <w:jc w:val="center"/>
              <w:rPr>
                <w:rFonts w:hint="eastAsia" w:ascii="仿宋" w:hAnsi="仿宋" w:eastAsia="仿宋"/>
                <w:vertAlign w:val="baseline"/>
                <w:lang w:eastAsia="zh-CN"/>
              </w:rPr>
            </w:pPr>
            <w:r>
              <w:rPr>
                <w:rFonts w:hint="eastAsia" w:ascii="仿宋" w:hAnsi="仿宋" w:eastAsia="仿宋"/>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5" w:type="dxa"/>
          </w:tcPr>
          <w:p>
            <w:pPr>
              <w:spacing w:line="400" w:lineRule="exact"/>
              <w:jc w:val="both"/>
              <w:rPr>
                <w:rFonts w:hint="eastAsia" w:ascii="仿宋" w:hAnsi="仿宋" w:eastAsia="仿宋"/>
                <w:vertAlign w:val="baseline"/>
                <w:lang w:eastAsia="zh-CN"/>
              </w:rPr>
            </w:pPr>
          </w:p>
        </w:tc>
        <w:tc>
          <w:tcPr>
            <w:tcW w:w="1566"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065" w:type="dxa"/>
          </w:tcPr>
          <w:p>
            <w:pPr>
              <w:spacing w:line="400" w:lineRule="exact"/>
              <w:jc w:val="both"/>
              <w:rPr>
                <w:rFonts w:hint="eastAsia" w:ascii="仿宋" w:hAnsi="仿宋" w:eastAsia="仿宋"/>
                <w:vertAlign w:val="baseline"/>
                <w:lang w:eastAsia="zh-CN"/>
              </w:rPr>
            </w:pPr>
          </w:p>
        </w:tc>
        <w:tc>
          <w:tcPr>
            <w:tcW w:w="1479" w:type="dxa"/>
          </w:tcPr>
          <w:p>
            <w:pPr>
              <w:spacing w:line="400" w:lineRule="exact"/>
              <w:jc w:val="both"/>
              <w:rPr>
                <w:rFonts w:hint="eastAsia" w:ascii="仿宋" w:hAnsi="仿宋" w:eastAsia="仿宋"/>
                <w:vertAlign w:val="baseline"/>
                <w:lang w:eastAsia="zh-CN"/>
              </w:rPr>
            </w:pPr>
          </w:p>
        </w:tc>
        <w:tc>
          <w:tcPr>
            <w:tcW w:w="651"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c>
          <w:tcPr>
            <w:tcW w:w="1066" w:type="dxa"/>
          </w:tcPr>
          <w:p>
            <w:pPr>
              <w:spacing w:line="400" w:lineRule="exact"/>
              <w:jc w:val="both"/>
              <w:rPr>
                <w:rFonts w:hint="eastAsia" w:ascii="仿宋" w:hAnsi="仿宋" w:eastAsia="仿宋"/>
                <w:vertAlign w:val="baseline"/>
                <w:lang w:eastAsia="zh-CN"/>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pStyle w:val="2"/>
        <w:rPr>
          <w:rFonts w:hint="eastAsia" w:eastAsia="仿宋_GB2312"/>
          <w:lang w:eastAsia="zh-CN"/>
        </w:rPr>
      </w:pPr>
      <w:r>
        <w:rPr>
          <w:rFonts w:hint="eastAsia" w:ascii="仿宋_GB2312" w:hAnsi="仿宋_GB2312" w:eastAsia="仿宋_GB2312" w:cs="仿宋_GB2312"/>
          <w:sz w:val="24"/>
          <w:szCs w:val="24"/>
          <w:lang w:eastAsia="zh-CN"/>
        </w:rPr>
        <w:t>　　生产公司名称：</w:t>
      </w:r>
      <w:r>
        <w:rPr>
          <w:rFonts w:hint="eastAsia" w:ascii="仿宋_GB2312" w:hAnsi="仿宋_GB2312" w:eastAsia="仿宋_GB2312" w:cs="仿宋_GB2312"/>
          <w:sz w:val="24"/>
          <w:szCs w:val="24"/>
        </w:rPr>
        <w:t>XXXX（单位公章）。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备注</w:t>
      </w:r>
      <w:r>
        <w:rPr>
          <w:rFonts w:hint="eastAsia" w:ascii="仿宋_GB2312" w:hAnsi="仿宋_GB2312" w:eastAsia="仿宋_GB2312" w:cs="仿宋_GB2312"/>
          <w:b w:val="0"/>
          <w:bCs/>
          <w:sz w:val="24"/>
          <w:szCs w:val="24"/>
        </w:rPr>
        <w:t>：投标人如实填写</w:t>
      </w:r>
      <w:r>
        <w:rPr>
          <w:rFonts w:hint="eastAsia" w:ascii="仿宋_GB2312" w:hAnsi="仿宋_GB2312" w:eastAsia="仿宋_GB2312" w:cs="仿宋_GB2312"/>
          <w:b w:val="0"/>
          <w:bCs/>
          <w:sz w:val="24"/>
          <w:szCs w:val="24"/>
          <w:lang w:eastAsia="zh-CN"/>
        </w:rPr>
        <w:t>《投标产品</w:t>
      </w:r>
      <w:r>
        <w:rPr>
          <w:rFonts w:hint="eastAsia" w:ascii="仿宋_GB2312" w:hAnsi="仿宋_GB2312" w:eastAsia="仿宋_GB2312" w:cs="仿宋_GB2312"/>
          <w:b w:val="0"/>
          <w:bCs/>
          <w:sz w:val="24"/>
          <w:szCs w:val="24"/>
          <w:u w:val="single"/>
          <w:lang w:val="en-US" w:eastAsia="zh-CN"/>
        </w:rPr>
        <w:t>　　　</w:t>
      </w:r>
      <w:r>
        <w:rPr>
          <w:rFonts w:hint="eastAsia" w:ascii="仿宋_GB2312" w:hAnsi="仿宋_GB2312" w:eastAsia="仿宋_GB2312" w:cs="仿宋_GB2312"/>
          <w:b w:val="0"/>
          <w:bCs/>
          <w:kern w:val="0"/>
          <w:sz w:val="24"/>
        </w:rPr>
        <w:t>零配件价格表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，填</w:t>
      </w:r>
      <w:r>
        <w:rPr>
          <w:rFonts w:hint="eastAsia" w:ascii="仿宋_GB2312" w:hAnsi="仿宋_GB2312" w:eastAsia="仿宋_GB2312" w:cs="仿宋_GB2312"/>
          <w:b w:val="0"/>
          <w:bCs/>
          <w:sz w:val="24"/>
          <w:szCs w:val="24"/>
          <w:lang w:eastAsia="zh-CN"/>
        </w:rPr>
        <w:t>写</w:t>
      </w:r>
      <w:r>
        <w:rPr>
          <w:rFonts w:hint="eastAsia" w:ascii="仿宋_GB2312" w:hAnsi="仿宋_GB2312" w:eastAsia="仿宋_GB2312" w:cs="仿宋_GB2312"/>
          <w:b w:val="0"/>
          <w:bCs/>
          <w:sz w:val="24"/>
          <w:szCs w:val="24"/>
        </w:rPr>
        <w:t>的</w:t>
      </w:r>
      <w:r>
        <w:rPr>
          <w:rFonts w:hint="eastAsia" w:ascii="仿宋_GB2312" w:hAnsi="仿宋_GB2312" w:eastAsia="仿宋_GB2312" w:cs="仿宋_GB2312"/>
          <w:b w:val="0"/>
          <w:bCs/>
          <w:sz w:val="24"/>
          <w:szCs w:val="24"/>
          <w:lang w:eastAsia="zh-CN"/>
        </w:rPr>
        <w:t>零配件价格</w:t>
      </w:r>
      <w:r>
        <w:rPr>
          <w:rFonts w:hint="eastAsia" w:ascii="仿宋_GB2312" w:hAnsi="仿宋_GB2312" w:eastAsia="仿宋_GB2312" w:cs="仿宋_GB2312"/>
          <w:b w:val="0"/>
          <w:bCs/>
          <w:sz w:val="24"/>
          <w:szCs w:val="24"/>
        </w:rPr>
        <w:t>仅作为</w:t>
      </w:r>
      <w:r>
        <w:rPr>
          <w:rFonts w:hint="eastAsia" w:ascii="仿宋_GB2312" w:hAnsi="仿宋_GB2312" w:eastAsia="仿宋_GB2312" w:cs="仿宋_GB2312"/>
          <w:b w:val="0"/>
          <w:bCs/>
          <w:sz w:val="24"/>
          <w:szCs w:val="24"/>
          <w:lang w:eastAsia="zh-CN"/>
        </w:rPr>
        <w:t>投标产品在质保期外</w:t>
      </w:r>
      <w:r>
        <w:rPr>
          <w:rFonts w:hint="eastAsia" w:ascii="仿宋_GB2312" w:hAnsi="仿宋_GB2312" w:eastAsia="仿宋_GB2312" w:cs="仿宋_GB2312"/>
          <w:b w:val="0"/>
          <w:bCs/>
          <w:sz w:val="24"/>
          <w:szCs w:val="24"/>
        </w:rPr>
        <w:t>维修时</w:t>
      </w:r>
      <w:r>
        <w:rPr>
          <w:rFonts w:hint="eastAsia" w:ascii="仿宋_GB2312" w:hAnsi="仿宋_GB2312" w:eastAsia="仿宋_GB2312" w:cs="仿宋_GB2312"/>
          <w:b w:val="0"/>
          <w:bCs/>
          <w:sz w:val="24"/>
          <w:szCs w:val="24"/>
          <w:lang w:eastAsia="zh-CN"/>
        </w:rPr>
        <w:t>更换</w:t>
      </w:r>
      <w:r>
        <w:rPr>
          <w:rFonts w:hint="eastAsia" w:ascii="仿宋_GB2312" w:hAnsi="仿宋_GB2312" w:eastAsia="仿宋_GB2312" w:cs="仿宋_GB2312"/>
          <w:b w:val="0"/>
          <w:bCs/>
          <w:kern w:val="0"/>
          <w:sz w:val="24"/>
        </w:rPr>
        <w:t>零配件</w:t>
      </w:r>
      <w:r>
        <w:rPr>
          <w:rFonts w:hint="eastAsia" w:ascii="仿宋_GB2312" w:hAnsi="仿宋_GB2312" w:eastAsia="仿宋_GB2312" w:cs="仿宋_GB2312"/>
          <w:b w:val="0"/>
          <w:bCs/>
          <w:kern w:val="0"/>
          <w:sz w:val="24"/>
          <w:lang w:eastAsia="zh-CN"/>
        </w:rPr>
        <w:t>的</w:t>
      </w:r>
      <w:r>
        <w:rPr>
          <w:rFonts w:hint="eastAsia" w:ascii="仿宋_GB2312" w:hAnsi="仿宋_GB2312" w:eastAsia="仿宋_GB2312" w:cs="仿宋_GB2312"/>
          <w:b w:val="0"/>
          <w:bCs/>
          <w:sz w:val="24"/>
          <w:szCs w:val="24"/>
        </w:rPr>
        <w:t>参考价格，</w:t>
      </w:r>
      <w:r>
        <w:rPr>
          <w:rFonts w:hint="eastAsia" w:ascii="仿宋_GB2312" w:hAnsi="仿宋_GB2312" w:eastAsia="仿宋_GB2312" w:cs="仿宋_GB2312"/>
          <w:b w:val="0"/>
          <w:bCs/>
          <w:sz w:val="24"/>
          <w:szCs w:val="24"/>
          <w:lang w:eastAsia="zh-CN"/>
        </w:rPr>
        <w:t>若有</w:t>
      </w:r>
      <w:r>
        <w:rPr>
          <w:rFonts w:hint="eastAsia" w:ascii="仿宋_GB2312" w:hAnsi="仿宋_GB2312" w:eastAsia="仿宋_GB2312" w:cs="仿宋_GB2312"/>
          <w:b w:val="0"/>
          <w:bCs/>
          <w:sz w:val="24"/>
          <w:szCs w:val="24"/>
        </w:rPr>
        <w:t>未填报</w:t>
      </w:r>
      <w:r>
        <w:rPr>
          <w:rFonts w:hint="eastAsia" w:ascii="仿宋_GB2312" w:hAnsi="仿宋_GB2312" w:eastAsia="仿宋_GB2312" w:cs="仿宋_GB2312"/>
          <w:b w:val="0"/>
          <w:bCs/>
          <w:sz w:val="24"/>
          <w:szCs w:val="24"/>
          <w:lang w:eastAsia="zh-CN"/>
        </w:rPr>
        <w:t>的投标</w:t>
      </w:r>
      <w:r>
        <w:rPr>
          <w:rFonts w:hint="eastAsia" w:ascii="仿宋_GB2312" w:hAnsi="仿宋_GB2312" w:eastAsia="仿宋_GB2312" w:cs="仿宋_GB2312"/>
          <w:b w:val="0"/>
          <w:bCs/>
          <w:sz w:val="24"/>
          <w:szCs w:val="24"/>
        </w:rPr>
        <w:t>产品零配件则由</w:t>
      </w:r>
      <w:r>
        <w:rPr>
          <w:rFonts w:hint="eastAsia" w:ascii="仿宋_GB2312" w:hAnsi="仿宋_GB2312" w:eastAsia="仿宋_GB2312" w:cs="仿宋_GB2312"/>
          <w:b w:val="0"/>
          <w:bCs/>
          <w:sz w:val="24"/>
          <w:szCs w:val="24"/>
          <w:lang w:eastAsia="zh-CN"/>
        </w:rPr>
        <w:t>投标人或生产公司</w:t>
      </w:r>
      <w:r>
        <w:rPr>
          <w:rFonts w:hint="eastAsia" w:ascii="仿宋_GB2312" w:hAnsi="仿宋_GB2312" w:eastAsia="仿宋_GB2312" w:cs="仿宋_GB2312"/>
          <w:b w:val="0"/>
          <w:bCs/>
          <w:sz w:val="24"/>
          <w:szCs w:val="24"/>
        </w:rPr>
        <w:t>免费提供</w:t>
      </w:r>
      <w:r>
        <w:rPr>
          <w:rFonts w:hint="eastAsia" w:ascii="仿宋_GB2312" w:hAnsi="仿宋_GB2312" w:eastAsia="仿宋_GB2312" w:cs="仿宋_GB2312"/>
          <w:b w:val="0"/>
          <w:bCs/>
          <w:sz w:val="24"/>
          <w:szCs w:val="24"/>
          <w:lang w:eastAsia="zh-CN"/>
        </w:rPr>
        <w:t>（需投标人及生产公司盖章）</w:t>
      </w:r>
      <w:r>
        <w:rPr>
          <w:rFonts w:hint="eastAsia" w:ascii="仿宋_GB2312" w:hAnsi="仿宋_GB2312" w:eastAsia="仿宋_GB2312" w:cs="仿宋_GB2312"/>
          <w:b w:val="0"/>
          <w:bCs/>
          <w:sz w:val="24"/>
          <w:szCs w:val="24"/>
        </w:rPr>
        <w:t>。</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br w:type="page"/>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val="0"/>
          <w:bCs/>
          <w:sz w:val="24"/>
          <w:szCs w:val="24"/>
          <w:lang w:eastAsia="zh-CN"/>
        </w:rPr>
      </w:pPr>
      <w:bookmarkStart w:id="44" w:name="_Toc25983_WPSOffice_Level1"/>
      <w:bookmarkStart w:id="45" w:name="_Toc26349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4.3</w:t>
      </w:r>
      <w:r>
        <w:rPr>
          <w:rFonts w:hint="eastAsia" w:ascii="仿宋_GB2312" w:hAnsi="仿宋_GB2312" w:eastAsia="仿宋_GB2312" w:cs="仿宋_GB2312"/>
          <w:b w:val="0"/>
          <w:bCs/>
          <w:sz w:val="24"/>
          <w:szCs w:val="24"/>
          <w:lang w:eastAsia="zh-CN"/>
        </w:rPr>
        <w:t>：投标应答表</w:t>
      </w:r>
      <w:bookmarkEnd w:id="44"/>
      <w:bookmarkEnd w:id="45"/>
    </w:p>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val="0"/>
                <w:bCs/>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pageBreakBefore w:val="0"/>
              <w:kinsoku/>
              <w:wordWrap/>
              <w:overflowPunct/>
              <w:topLinePunct w:val="0"/>
              <w:bidi w:val="0"/>
              <w:spacing w:line="240" w:lineRule="auto"/>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c>
          <w:tcPr>
            <w:tcW w:w="3173"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c>
          <w:tcPr>
            <w:tcW w:w="4188" w:type="dxa"/>
            <w:vAlign w:val="center"/>
          </w:tcPr>
          <w:p>
            <w:pPr>
              <w:pStyle w:val="2"/>
              <w:pageBreakBefore w:val="0"/>
              <w:kinsoku/>
              <w:wordWrap/>
              <w:overflowPunct/>
              <w:topLinePunct w:val="0"/>
              <w:bidi w:val="0"/>
              <w:spacing w:line="240" w:lineRule="auto"/>
              <w:jc w:val="both"/>
              <w:rPr>
                <w:rFonts w:hint="eastAsia" w:ascii="仿宋_GB2312" w:hAnsi="仿宋_GB2312" w:eastAsia="仿宋_GB2312" w:cs="仿宋_GB2312"/>
                <w:b/>
                <w:sz w:val="21"/>
                <w:szCs w:val="21"/>
                <w:vertAlign w:val="baseline"/>
              </w:rPr>
            </w:pPr>
          </w:p>
        </w:tc>
      </w:tr>
    </w:tbl>
    <w:p>
      <w:pPr>
        <w:pStyle w:val="2"/>
        <w:pageBreakBefore w:val="0"/>
        <w:kinsoku/>
        <w:wordWrap/>
        <w:overflowPunct/>
        <w:topLinePunct w:val="0"/>
        <w:bidi w:val="0"/>
        <w:spacing w:line="240" w:lineRule="auto"/>
        <w:rPr>
          <w:rFonts w:hint="eastAsia" w:ascii="仿宋_GB2312" w:hAnsi="仿宋_GB2312" w:eastAsia="仿宋_GB2312" w:cs="仿宋_GB2312"/>
          <w:b/>
          <w:sz w:val="24"/>
          <w:szCs w:val="24"/>
        </w:rPr>
      </w:pPr>
    </w:p>
    <w:p>
      <w:pPr>
        <w:pStyle w:val="2"/>
        <w:pageBreakBefore w:val="0"/>
        <w:kinsoku/>
        <w:wordWrap/>
        <w:overflowPunct/>
        <w:topLinePunct w:val="0"/>
        <w:bidi w:val="0"/>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9"/>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98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559"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2584" w:type="dxa"/>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p>
        </w:tc>
        <w:tc>
          <w:tcPr>
            <w:tcW w:w="2381"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98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559"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2584" w:type="dxa"/>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p>
        </w:tc>
        <w:tc>
          <w:tcPr>
            <w:tcW w:w="2381"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98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1559"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c>
          <w:tcPr>
            <w:tcW w:w="2584" w:type="dxa"/>
            <w:vAlign w:val="center"/>
          </w:tcPr>
          <w:p>
            <w:pPr>
              <w:pageBreakBefore w:val="0"/>
              <w:kinsoku/>
              <w:wordWrap/>
              <w:overflowPunct/>
              <w:topLinePunct w:val="0"/>
              <w:bidi w:val="0"/>
              <w:spacing w:line="240" w:lineRule="auto"/>
              <w:jc w:val="left"/>
              <w:rPr>
                <w:rFonts w:hint="eastAsia" w:ascii="仿宋_GB2312" w:hAnsi="仿宋_GB2312" w:eastAsia="仿宋_GB2312" w:cs="仿宋_GB2312"/>
                <w:sz w:val="24"/>
                <w:szCs w:val="24"/>
              </w:rPr>
            </w:pPr>
          </w:p>
        </w:tc>
        <w:tc>
          <w:tcPr>
            <w:tcW w:w="2381"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pageBreakBefore w:val="0"/>
        <w:widowControl/>
        <w:kinsoku/>
        <w:wordWrap/>
        <w:overflowPunct/>
        <w:topLinePunct w:val="0"/>
        <w:bidi w:val="0"/>
        <w:spacing w:line="240"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pageBreakBefore w:val="0"/>
        <w:kinsoku/>
        <w:wordWrap/>
        <w:overflowPunct/>
        <w:topLinePunct w:val="0"/>
        <w:bidi w:val="0"/>
        <w:spacing w:line="240" w:lineRule="auto"/>
        <w:jc w:val="left"/>
        <w:rPr>
          <w:rFonts w:hint="eastAsia" w:ascii="仿宋_GB2312" w:hAnsi="仿宋_GB2312" w:eastAsia="仿宋_GB2312" w:cs="仿宋_GB2312"/>
          <w:b w:val="0"/>
          <w:bCs/>
          <w:sz w:val="24"/>
          <w:szCs w:val="24"/>
        </w:rPr>
      </w:pPr>
      <w:bookmarkStart w:id="46" w:name="_Toc27770_WPSOffice_Level1"/>
      <w:bookmarkStart w:id="47" w:name="_Toc3367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4.4</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法定代表人/单位负责人授权书</w:t>
      </w:r>
      <w:bookmarkEnd w:id="46"/>
      <w:bookmarkEnd w:id="47"/>
    </w:p>
    <w:p>
      <w:pPr>
        <w:pageBreakBefore w:val="0"/>
        <w:widowControl/>
        <w:kinsoku/>
        <w:wordWrap/>
        <w:overflowPunct/>
        <w:topLinePunct w:val="0"/>
        <w:bidi w:val="0"/>
        <w:spacing w:line="240" w:lineRule="auto"/>
        <w:jc w:val="left"/>
        <w:rPr>
          <w:rFonts w:hint="eastAsia" w:ascii="仿宋_GB2312" w:hAnsi="仿宋_GB2312" w:eastAsia="仿宋_GB2312" w:cs="仿宋_GB2312"/>
          <w:b w:val="0"/>
          <w:bCs/>
          <w:sz w:val="24"/>
          <w:szCs w:val="24"/>
          <w:lang w:eastAsia="zh-CN"/>
        </w:rPr>
      </w:pPr>
    </w:p>
    <w:p>
      <w:pPr>
        <w:pageBreakBefore w:val="0"/>
        <w:kinsoku/>
        <w:wordWrap/>
        <w:overflowPunct/>
        <w:topLinePunct w:val="0"/>
        <w:bidi w:val="0"/>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sz w:val="24"/>
          <w:szCs w:val="24"/>
        </w:rPr>
      </w:pP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b/>
          <w:sz w:val="24"/>
          <w:szCs w:val="24"/>
        </w:rPr>
      </w:pPr>
      <w:bookmarkStart w:id="48" w:name="_Toc217446084"/>
    </w:p>
    <w:p>
      <w:pPr>
        <w:pageBreakBefore w:val="0"/>
        <w:kinsoku/>
        <w:wordWrap/>
        <w:overflowPunct/>
        <w:topLinePunct w:val="0"/>
        <w:bidi w:val="0"/>
        <w:spacing w:line="240" w:lineRule="auto"/>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pageBreakBefore w:val="0"/>
        <w:kinsoku/>
        <w:wordWrap/>
        <w:overflowPunct/>
        <w:topLinePunct w:val="0"/>
        <w:bidi w:val="0"/>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48"/>
    </w:p>
    <w:p>
      <w:pPr>
        <w:pageBreakBefore w:val="0"/>
        <w:kinsoku/>
        <w:wordWrap/>
        <w:overflowPunct/>
        <w:topLinePunct w:val="0"/>
        <w:bidi w:val="0"/>
        <w:spacing w:line="24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bookmarkStart w:id="49" w:name="_Toc16440_WPSOffice_Level1"/>
      <w:bookmarkStart w:id="50" w:name="_Toc26997_WPSOffice_Level1"/>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4.5</w:t>
      </w:r>
      <w:r>
        <w:rPr>
          <w:rFonts w:hint="eastAsia" w:ascii="仿宋_GB2312" w:hAnsi="仿宋_GB2312" w:eastAsia="仿宋_GB2312" w:cs="仿宋_GB2312"/>
          <w:b w:val="0"/>
          <w:bCs/>
          <w:sz w:val="24"/>
          <w:szCs w:val="24"/>
          <w:lang w:eastAsia="zh-CN"/>
        </w:rPr>
        <w:t>：承诺函</w:t>
      </w:r>
      <w:bookmarkEnd w:id="49"/>
      <w:bookmarkEnd w:id="50"/>
    </w:p>
    <w:p>
      <w:pPr>
        <w:pageBreakBefore w:val="0"/>
        <w:kinsoku/>
        <w:wordWrap/>
        <w:overflowPunct/>
        <w:topLinePunct w:val="0"/>
        <w:bidi w:val="0"/>
        <w:spacing w:line="240" w:lineRule="auto"/>
        <w:jc w:val="center"/>
        <w:rPr>
          <w:rFonts w:hint="eastAsia" w:ascii="仿宋_GB2312" w:hAnsi="仿宋_GB2312" w:eastAsia="仿宋_GB2312" w:cs="仿宋_GB2312"/>
          <w:b/>
          <w:sz w:val="24"/>
          <w:szCs w:val="24"/>
        </w:rPr>
      </w:pPr>
      <w:bookmarkStart w:id="51" w:name="_Toc32543_WPSOffice_Level1"/>
      <w:bookmarkStart w:id="52" w:name="_Toc13062_WPSOffice_Level1"/>
      <w:r>
        <w:rPr>
          <w:rFonts w:hint="eastAsia" w:ascii="仿宋_GB2312" w:hAnsi="仿宋_GB2312" w:eastAsia="仿宋_GB2312" w:cs="仿宋_GB2312"/>
          <w:b/>
          <w:sz w:val="24"/>
          <w:szCs w:val="24"/>
        </w:rPr>
        <w:t>承诺函</w:t>
      </w:r>
      <w:bookmarkEnd w:id="51"/>
      <w:bookmarkEnd w:id="52"/>
    </w:p>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b/>
          <w:sz w:val="24"/>
          <w:szCs w:val="24"/>
        </w:rPr>
      </w:pPr>
    </w:p>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53" w:name="_Toc30581_WPSOffice_Level1"/>
      <w:bookmarkStart w:id="54" w:name="_Toc6288_WPSOffice_Level1"/>
      <w:r>
        <w:rPr>
          <w:rFonts w:hint="eastAsia" w:ascii="仿宋_GB2312" w:hAnsi="仿宋_GB2312" w:eastAsia="仿宋_GB2312" w:cs="仿宋_GB2312"/>
          <w:sz w:val="24"/>
          <w:szCs w:val="24"/>
        </w:rPr>
        <w:t>（一）具有独立承担民事责任的能力；</w:t>
      </w:r>
      <w:bookmarkEnd w:id="53"/>
      <w:bookmarkEnd w:id="54"/>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55" w:name="_Toc1285_WPSOffice_Level1"/>
      <w:bookmarkStart w:id="56" w:name="_Toc18476_WPSOffice_Level1"/>
      <w:r>
        <w:rPr>
          <w:rFonts w:hint="eastAsia" w:ascii="仿宋_GB2312" w:hAnsi="仿宋_GB2312" w:eastAsia="仿宋_GB2312" w:cs="仿宋_GB2312"/>
          <w:sz w:val="24"/>
          <w:szCs w:val="24"/>
        </w:rPr>
        <w:t>（二）具有良好的商业信誉和健全的财务会计制度；</w:t>
      </w:r>
      <w:bookmarkEnd w:id="55"/>
      <w:bookmarkEnd w:id="56"/>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57" w:name="_Toc30603_WPSOffice_Level1"/>
      <w:bookmarkStart w:id="58" w:name="_Toc25566_WPSOffice_Level1"/>
      <w:r>
        <w:rPr>
          <w:rFonts w:hint="eastAsia" w:ascii="仿宋_GB2312" w:hAnsi="仿宋_GB2312" w:eastAsia="仿宋_GB2312" w:cs="仿宋_GB2312"/>
          <w:sz w:val="24"/>
          <w:szCs w:val="24"/>
        </w:rPr>
        <w:t>（三）具有履行合同所必需的耗材和专业技术能力；</w:t>
      </w:r>
      <w:bookmarkEnd w:id="57"/>
      <w:bookmarkEnd w:id="58"/>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59" w:name="_Toc4485_WPSOffice_Level1"/>
      <w:bookmarkStart w:id="60" w:name="_Toc28586_WPSOffice_Level1"/>
      <w:r>
        <w:rPr>
          <w:rFonts w:hint="eastAsia" w:ascii="仿宋_GB2312" w:hAnsi="仿宋_GB2312" w:eastAsia="仿宋_GB2312" w:cs="仿宋_GB2312"/>
          <w:sz w:val="24"/>
          <w:szCs w:val="24"/>
        </w:rPr>
        <w:t>（四）有依法缴纳税收和社会保障资金的良好记录；</w:t>
      </w:r>
      <w:bookmarkEnd w:id="59"/>
      <w:bookmarkEnd w:id="60"/>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61" w:name="_Toc25960_WPSOffice_Level1"/>
      <w:bookmarkStart w:id="62" w:name="_Toc21584_WPSOffice_Level1"/>
      <w:r>
        <w:rPr>
          <w:rFonts w:hint="eastAsia" w:ascii="仿宋_GB2312" w:hAnsi="仿宋_GB2312" w:eastAsia="仿宋_GB2312" w:cs="仿宋_GB2312"/>
          <w:sz w:val="24"/>
          <w:szCs w:val="24"/>
        </w:rPr>
        <w:t>（五）参加采购活动前三年内，在经营活动中没有重大违法记录；</w:t>
      </w:r>
      <w:bookmarkEnd w:id="61"/>
      <w:bookmarkEnd w:id="62"/>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63" w:name="_Toc24832_WPSOffice_Level1"/>
      <w:bookmarkStart w:id="64" w:name="_Toc24620_WPSOffice_Level1"/>
      <w:r>
        <w:rPr>
          <w:rFonts w:hint="eastAsia" w:ascii="仿宋_GB2312" w:hAnsi="仿宋_GB2312" w:eastAsia="仿宋_GB2312" w:cs="仿宋_GB2312"/>
          <w:sz w:val="24"/>
          <w:szCs w:val="24"/>
        </w:rPr>
        <w:t>（六）法律、行政法规规定的其他条件；</w:t>
      </w:r>
      <w:bookmarkEnd w:id="63"/>
      <w:bookmarkEnd w:id="64"/>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bookmarkStart w:id="65" w:name="_Toc12897_WPSOffice_Level1"/>
      <w:bookmarkStart w:id="66" w:name="_Toc22881_WPSOffice_Level1"/>
      <w:r>
        <w:rPr>
          <w:rFonts w:hint="eastAsia" w:ascii="仿宋_GB2312" w:hAnsi="仿宋_GB2312" w:eastAsia="仿宋_GB2312" w:cs="仿宋_GB2312"/>
          <w:sz w:val="24"/>
          <w:szCs w:val="24"/>
        </w:rPr>
        <w:t>（七）根据采购项目提出的特殊条件。</w:t>
      </w:r>
      <w:bookmarkEnd w:id="65"/>
      <w:bookmarkEnd w:id="66"/>
    </w:p>
    <w:p>
      <w:pPr>
        <w:pageBreakBefore w:val="0"/>
        <w:kinsoku/>
        <w:wordWrap/>
        <w:overflowPunct/>
        <w:topLinePunct w:val="0"/>
        <w:bidi w:val="0"/>
        <w:spacing w:line="240" w:lineRule="auto"/>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pageBreakBefore w:val="0"/>
        <w:kinsoku/>
        <w:wordWrap/>
        <w:overflowPunct/>
        <w:topLinePunct w:val="0"/>
        <w:bidi w:val="0"/>
        <w:spacing w:line="240" w:lineRule="auto"/>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pageBreakBefore w:val="0"/>
        <w:kinsoku/>
        <w:wordWrap/>
        <w:overflowPunct/>
        <w:topLinePunct w:val="0"/>
        <w:bidi w:val="0"/>
        <w:spacing w:line="240" w:lineRule="auto"/>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pageBreakBefore w:val="0"/>
        <w:widowControl/>
        <w:kinsoku/>
        <w:wordWrap/>
        <w:overflowPunct/>
        <w:topLinePunct w:val="0"/>
        <w:bidi w:val="0"/>
        <w:spacing w:line="240" w:lineRule="auto"/>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pageBreakBefore w:val="0"/>
        <w:widowControl/>
        <w:kinsoku/>
        <w:wordWrap/>
        <w:overflowPunct/>
        <w:topLinePunct w:val="0"/>
        <w:bidi w:val="0"/>
        <w:spacing w:line="240" w:lineRule="auto"/>
        <w:ind w:firstLine="472" w:firstLineChars="196"/>
        <w:jc w:val="left"/>
        <w:outlineLvl w:val="1"/>
        <w:rPr>
          <w:rFonts w:hint="eastAsia" w:ascii="仿宋_GB2312" w:hAnsi="仿宋_GB2312" w:eastAsia="仿宋_GB2312" w:cs="仿宋_GB2312"/>
          <w:b/>
          <w:sz w:val="24"/>
          <w:szCs w:val="24"/>
        </w:rPr>
        <w:sectPr>
          <w:footerReference r:id="rId11" w:type="default"/>
          <w:pgSz w:w="11907" w:h="16840"/>
          <w:pgMar w:top="2098" w:right="1474" w:bottom="1985" w:left="1588" w:header="851" w:footer="992" w:gutter="0"/>
          <w:cols w:space="720" w:num="1"/>
          <w:docGrid w:linePitch="312" w:charSpace="0"/>
        </w:sectPr>
      </w:pPr>
    </w:p>
    <w:p>
      <w:pPr>
        <w:pageBreakBefore w:val="0"/>
        <w:kinsoku/>
        <w:wordWrap/>
        <w:overflowPunct/>
        <w:topLinePunct w:val="0"/>
        <w:bidi w:val="0"/>
        <w:spacing w:line="240" w:lineRule="auto"/>
        <w:rPr>
          <w:rFonts w:hint="eastAsia" w:ascii="仿宋_GB2312" w:hAnsi="仿宋_GB2312" w:eastAsia="仿宋_GB2312" w:cs="仿宋_GB2312"/>
          <w:b w:val="0"/>
          <w:bCs/>
          <w:sz w:val="24"/>
          <w:szCs w:val="24"/>
          <w:lang w:eastAsia="zh-CN"/>
        </w:rPr>
      </w:pPr>
      <w:bookmarkStart w:id="67" w:name="_Toc13294_WPSOffice_Level1"/>
      <w:bookmarkStart w:id="68" w:name="_Toc30932_WPSOffice_Level1"/>
      <w:bookmarkStart w:id="69"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val="en-US" w:eastAsia="zh-CN"/>
        </w:rPr>
        <w:t>4.6</w:t>
      </w:r>
      <w:r>
        <w:rPr>
          <w:rFonts w:hint="eastAsia" w:ascii="仿宋_GB2312" w:hAnsi="仿宋_GB2312" w:eastAsia="仿宋_GB2312" w:cs="仿宋_GB2312"/>
          <w:b w:val="0"/>
          <w:bCs/>
          <w:sz w:val="24"/>
          <w:szCs w:val="24"/>
          <w:lang w:eastAsia="zh-CN"/>
        </w:rPr>
        <w:t>：投标人情况表</w:t>
      </w:r>
      <w:bookmarkEnd w:id="67"/>
      <w:bookmarkEnd w:id="68"/>
    </w:p>
    <w:p>
      <w:pPr>
        <w:pageBreakBefore w:val="0"/>
        <w:widowControl/>
        <w:kinsoku/>
        <w:wordWrap/>
        <w:overflowPunct/>
        <w:topLinePunct w:val="0"/>
        <w:bidi w:val="0"/>
        <w:spacing w:line="240" w:lineRule="auto"/>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69"/>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pageBreakBefore w:val="0"/>
              <w:widowControl/>
              <w:kinsoku/>
              <w:wordWrap/>
              <w:overflowPunct/>
              <w:topLinePunct w:val="0"/>
              <w:bidi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pageBreakBefore w:val="0"/>
              <w:kinsoku/>
              <w:wordWrap/>
              <w:overflowPunct/>
              <w:topLinePunct w:val="0"/>
              <w:bidi w:val="0"/>
              <w:spacing w:line="240" w:lineRule="auto"/>
              <w:rPr>
                <w:rFonts w:hint="eastAsia" w:ascii="仿宋_GB2312" w:hAnsi="仿宋_GB2312" w:eastAsia="仿宋_GB2312" w:cs="仿宋_GB2312"/>
                <w:sz w:val="24"/>
                <w:szCs w:val="24"/>
              </w:rPr>
            </w:pPr>
          </w:p>
        </w:tc>
        <w:tc>
          <w:tcPr>
            <w:tcW w:w="1723" w:type="dxa"/>
            <w:gridSpan w:val="2"/>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pageBreakBefore w:val="0"/>
              <w:widowControl/>
              <w:kinsoku/>
              <w:wordWrap/>
              <w:overflowPunct/>
              <w:topLinePunct w:val="0"/>
              <w:bidi w:val="0"/>
              <w:spacing w:line="240" w:lineRule="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p>
        </w:tc>
      </w:tr>
    </w:tbl>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pageBreakBefore w:val="0"/>
        <w:widowControl/>
        <w:kinsoku/>
        <w:wordWrap/>
        <w:overflowPunct/>
        <w:topLinePunct w:val="0"/>
        <w:bidi w:val="0"/>
        <w:spacing w:line="240" w:lineRule="auto"/>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Style w:val="16"/>
                            </w:rPr>
                          </w:pPr>
                          <w:r>
                            <w:fldChar w:fldCharType="begin"/>
                          </w:r>
                          <w:r>
                            <w:rPr>
                              <w:rStyle w:val="16"/>
                            </w:rPr>
                            <w:instrText xml:space="preserve">PAGE  </w:instrText>
                          </w:r>
                          <w:r>
                            <w:fldChar w:fldCharType="separate"/>
                          </w:r>
                          <w:r>
                            <w:rPr>
                              <w:rStyle w:val="16"/>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jc w:val="center"/>
                      <w:rPr>
                        <w:rStyle w:val="16"/>
                      </w:rPr>
                    </w:pPr>
                    <w:r>
                      <w:fldChar w:fldCharType="begin"/>
                    </w:r>
                    <w:r>
                      <w:rPr>
                        <w:rStyle w:val="16"/>
                      </w:rPr>
                      <w:instrText xml:space="preserve">PAGE  </w:instrText>
                    </w:r>
                    <w:r>
                      <w:fldChar w:fldCharType="separate"/>
                    </w:r>
                    <w:r>
                      <w:rPr>
                        <w:rStyle w:val="1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74</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1"/>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6FF404D"/>
    <w:rsid w:val="09F22FF5"/>
    <w:rsid w:val="0A4346AA"/>
    <w:rsid w:val="0A4C7111"/>
    <w:rsid w:val="0A5159BE"/>
    <w:rsid w:val="0B56279E"/>
    <w:rsid w:val="0BAB3B9A"/>
    <w:rsid w:val="0D0B13D1"/>
    <w:rsid w:val="0D5039F1"/>
    <w:rsid w:val="0D5A1E98"/>
    <w:rsid w:val="0E6416B3"/>
    <w:rsid w:val="0F3232EA"/>
    <w:rsid w:val="0F6005AA"/>
    <w:rsid w:val="0FCC5BE4"/>
    <w:rsid w:val="0FF864E0"/>
    <w:rsid w:val="102854E6"/>
    <w:rsid w:val="11C20CDA"/>
    <w:rsid w:val="14631B3A"/>
    <w:rsid w:val="16126D0C"/>
    <w:rsid w:val="16331E02"/>
    <w:rsid w:val="18836C21"/>
    <w:rsid w:val="1891387A"/>
    <w:rsid w:val="1905296B"/>
    <w:rsid w:val="198405CB"/>
    <w:rsid w:val="1D2221C0"/>
    <w:rsid w:val="1FD13655"/>
    <w:rsid w:val="20874A11"/>
    <w:rsid w:val="20EF5935"/>
    <w:rsid w:val="23C74069"/>
    <w:rsid w:val="23F15E6E"/>
    <w:rsid w:val="244C6CAC"/>
    <w:rsid w:val="25833166"/>
    <w:rsid w:val="280E7B48"/>
    <w:rsid w:val="2996474C"/>
    <w:rsid w:val="2B106C7F"/>
    <w:rsid w:val="2D6B6A8F"/>
    <w:rsid w:val="2DD21197"/>
    <w:rsid w:val="32536FD3"/>
    <w:rsid w:val="32720D7F"/>
    <w:rsid w:val="33CB6621"/>
    <w:rsid w:val="34FF0B5C"/>
    <w:rsid w:val="38965316"/>
    <w:rsid w:val="3A632565"/>
    <w:rsid w:val="3B7A7C9F"/>
    <w:rsid w:val="3BFC01EF"/>
    <w:rsid w:val="3D1F7B5B"/>
    <w:rsid w:val="433E11C8"/>
    <w:rsid w:val="44E02E01"/>
    <w:rsid w:val="44E96280"/>
    <w:rsid w:val="46801FBD"/>
    <w:rsid w:val="46AA3511"/>
    <w:rsid w:val="470D2A02"/>
    <w:rsid w:val="47162FEE"/>
    <w:rsid w:val="47203FB7"/>
    <w:rsid w:val="476C749F"/>
    <w:rsid w:val="4824133D"/>
    <w:rsid w:val="494455B4"/>
    <w:rsid w:val="497824CD"/>
    <w:rsid w:val="4C8F175C"/>
    <w:rsid w:val="505171B1"/>
    <w:rsid w:val="50DD6FFE"/>
    <w:rsid w:val="57AF56A8"/>
    <w:rsid w:val="5B7C0B95"/>
    <w:rsid w:val="5C8D1ED9"/>
    <w:rsid w:val="5D7F0CC2"/>
    <w:rsid w:val="631A1F65"/>
    <w:rsid w:val="64BF1D1B"/>
    <w:rsid w:val="65F838D3"/>
    <w:rsid w:val="66311611"/>
    <w:rsid w:val="68C903CB"/>
    <w:rsid w:val="69090096"/>
    <w:rsid w:val="6BF0276C"/>
    <w:rsid w:val="6CF407B5"/>
    <w:rsid w:val="71744923"/>
    <w:rsid w:val="71A21CC7"/>
    <w:rsid w:val="73C743D0"/>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Plain Text"/>
    <w:basedOn w:val="1"/>
    <w:qFormat/>
    <w:uiPriority w:val="0"/>
    <w:pPr>
      <w:widowControl/>
      <w:jc w:val="left"/>
    </w:pPr>
    <w:rPr>
      <w:rFonts w:ascii="Courier New" w:hAnsi="Courier New"/>
      <w:kern w:val="0"/>
      <w:sz w:val="20"/>
      <w:szCs w:val="20"/>
    </w:rPr>
  </w:style>
  <w:style w:type="paragraph" w:styleId="10">
    <w:name w:val="Balloon Text"/>
    <w:basedOn w:val="1"/>
    <w:link w:val="24"/>
    <w:semiHidden/>
    <w:unhideWhenUsed/>
    <w:qFormat/>
    <w:uiPriority w:val="99"/>
    <w:pPr>
      <w:spacing w:after="0" w:line="240" w:lineRule="auto"/>
    </w:pPr>
    <w:rPr>
      <w:sz w:val="18"/>
      <w:szCs w:val="18"/>
    </w:rPr>
  </w:style>
  <w:style w:type="paragraph" w:styleId="11">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link w:val="32"/>
    <w:qFormat/>
    <w:uiPriority w:val="39"/>
  </w:style>
  <w:style w:type="paragraph" w:styleId="14">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6">
    <w:name w:val="page number"/>
    <w:qFormat/>
    <w:uiPriority w:val="0"/>
  </w:style>
  <w:style w:type="character" w:styleId="17">
    <w:name w:val="FollowedHyperlink"/>
    <w:basedOn w:val="15"/>
    <w:semiHidden/>
    <w:unhideWhenUsed/>
    <w:qFormat/>
    <w:uiPriority w:val="99"/>
    <w:rPr>
      <w:color w:val="003399"/>
      <w:u w:val="none"/>
    </w:rPr>
  </w:style>
  <w:style w:type="character" w:styleId="18">
    <w:name w:val="Hyperlink"/>
    <w:basedOn w:val="15"/>
    <w:semiHidden/>
    <w:unhideWhenUsed/>
    <w:qFormat/>
    <w:uiPriority w:val="99"/>
    <w:rPr>
      <w:color w:val="0045AD"/>
      <w:u w:val="none"/>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5"/>
    <w:link w:val="4"/>
    <w:qFormat/>
    <w:uiPriority w:val="0"/>
    <w:rPr>
      <w:rFonts w:ascii="Arial" w:hAnsi="Arial" w:eastAsia="黑体" w:cs="Times New Roman"/>
      <w:b/>
      <w:bCs/>
      <w:sz w:val="32"/>
      <w:szCs w:val="32"/>
    </w:rPr>
  </w:style>
  <w:style w:type="character" w:customStyle="1" w:styleId="22">
    <w:name w:val="页眉 Char"/>
    <w:basedOn w:val="15"/>
    <w:link w:val="12"/>
    <w:qFormat/>
    <w:uiPriority w:val="99"/>
    <w:rPr>
      <w:rFonts w:ascii="Calibri" w:hAnsi="Calibri" w:eastAsia="宋体" w:cs="Times New Roman"/>
      <w:sz w:val="18"/>
      <w:szCs w:val="18"/>
    </w:rPr>
  </w:style>
  <w:style w:type="character" w:customStyle="1" w:styleId="23">
    <w:name w:val="页脚 Char"/>
    <w:basedOn w:val="15"/>
    <w:link w:val="11"/>
    <w:semiHidden/>
    <w:qFormat/>
    <w:uiPriority w:val="99"/>
    <w:rPr>
      <w:rFonts w:ascii="Calibri" w:hAnsi="Calibri" w:eastAsia="宋体" w:cs="Times New Roman"/>
      <w:sz w:val="18"/>
      <w:szCs w:val="18"/>
    </w:rPr>
  </w:style>
  <w:style w:type="character" w:customStyle="1" w:styleId="24">
    <w:name w:val="批注框文本 Char"/>
    <w:basedOn w:val="15"/>
    <w:link w:val="10"/>
    <w:semiHidden/>
    <w:qFormat/>
    <w:uiPriority w:val="99"/>
    <w:rPr>
      <w:rFonts w:ascii="Calibri" w:hAnsi="Calibri" w:eastAsia="宋体" w:cs="Times New Roman"/>
      <w:sz w:val="18"/>
      <w:szCs w:val="18"/>
    </w:rPr>
  </w:style>
  <w:style w:type="character" w:customStyle="1" w:styleId="25">
    <w:name w:val="标题 3 Char"/>
    <w:basedOn w:val="15"/>
    <w:link w:val="5"/>
    <w:semiHidden/>
    <w:qFormat/>
    <w:uiPriority w:val="9"/>
    <w:rPr>
      <w:rFonts w:ascii="Calibri" w:hAnsi="Calibri" w:eastAsia="宋体" w:cs="Times New Roman"/>
      <w:b/>
      <w:bCs/>
      <w:sz w:val="32"/>
      <w:szCs w:val="32"/>
    </w:rPr>
  </w:style>
  <w:style w:type="character" w:customStyle="1" w:styleId="26">
    <w:name w:val="正文文本缩进 Char"/>
    <w:basedOn w:val="15"/>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5"/>
    <w:link w:val="3"/>
    <w:qFormat/>
    <w:uiPriority w:val="0"/>
    <w:rPr>
      <w:rFonts w:ascii="Calibri" w:hAnsi="Calibri" w:eastAsia="宋体" w:cs="Times New Roman"/>
      <w:b/>
      <w:bCs/>
      <w:kern w:val="44"/>
      <w:sz w:val="44"/>
      <w:szCs w:val="44"/>
    </w:rPr>
  </w:style>
  <w:style w:type="character" w:customStyle="1" w:styleId="29">
    <w:name w:val="标题 Char"/>
    <w:basedOn w:val="15"/>
    <w:link w:val="14"/>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3"/>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2b5cca-91a6-4068-b467-d1bac69cf41b}"/>
        <w:style w:val=""/>
        <w:category>
          <w:name w:val="常规"/>
          <w:gallery w:val="placeholder"/>
        </w:category>
        <w:types>
          <w:type w:val="bbPlcHdr"/>
        </w:types>
        <w:behaviors>
          <w:behavior w:val="content"/>
        </w:behaviors>
        <w:description w:val=""/>
        <w:guid w:val="{5b2b5cca-91a6-4068-b467-d1bac69cf41b}"/>
      </w:docPartPr>
      <w:docPartBody>
        <w:p>
          <w:r>
            <w:rPr>
              <w:color w:val="808080"/>
            </w:rPr>
            <w:t>单击此处输入文字。</w:t>
          </w:r>
        </w:p>
      </w:docPartBody>
    </w:docPart>
    <w:docPart>
      <w:docPartPr>
        <w:name w:val="{5f924315-56d0-407e-baa1-f3a6e965ae01}"/>
        <w:style w:val=""/>
        <w:category>
          <w:name w:val="常规"/>
          <w:gallery w:val="placeholder"/>
        </w:category>
        <w:types>
          <w:type w:val="bbPlcHdr"/>
        </w:types>
        <w:behaviors>
          <w:behavior w:val="content"/>
        </w:behaviors>
        <w:description w:val=""/>
        <w:guid w:val="{5f924315-56d0-407e-baa1-f3a6e965ae01}"/>
      </w:docPartPr>
      <w:docPartBody>
        <w:p>
          <w:r>
            <w:rPr>
              <w:color w:val="808080"/>
            </w:rPr>
            <w:t>单击此处输入文字。</w:t>
          </w:r>
        </w:p>
      </w:docPartBody>
    </w:docPart>
    <w:docPart>
      <w:docPartPr>
        <w:name w:val="{5b91ddea-7aa9-406b-af11-e9348238cdb8}"/>
        <w:style w:val=""/>
        <w:category>
          <w:name w:val="常规"/>
          <w:gallery w:val="placeholder"/>
        </w:category>
        <w:types>
          <w:type w:val="bbPlcHdr"/>
        </w:types>
        <w:behaviors>
          <w:behavior w:val="content"/>
        </w:behaviors>
        <w:description w:val=""/>
        <w:guid w:val="{5b91ddea-7aa9-406b-af11-e9348238cdb8}"/>
      </w:docPartPr>
      <w:docPartBody>
        <w:p>
          <w:r>
            <w:rPr>
              <w:color w:val="808080"/>
            </w:rPr>
            <w:t>单击此处输入文字。</w:t>
          </w:r>
        </w:p>
      </w:docPartBody>
    </w:docPart>
    <w:docPart>
      <w:docPartPr>
        <w:name w:val="{1c7e58d6-ac4d-4034-a0b7-d2dc76f3898b}"/>
        <w:style w:val=""/>
        <w:category>
          <w:name w:val="常规"/>
          <w:gallery w:val="placeholder"/>
        </w:category>
        <w:types>
          <w:type w:val="bbPlcHdr"/>
        </w:types>
        <w:behaviors>
          <w:behavior w:val="content"/>
        </w:behaviors>
        <w:description w:val=""/>
        <w:guid w:val="{1c7e58d6-ac4d-4034-a0b7-d2dc76f3898b}"/>
      </w:docPartPr>
      <w:docPartBody>
        <w:p>
          <w:r>
            <w:rPr>
              <w:color w:val="808080"/>
            </w:rPr>
            <w:t>单击此处输入文字。</w:t>
          </w:r>
        </w:p>
      </w:docPartBody>
    </w:docPart>
    <w:docPart>
      <w:docPartPr>
        <w:name w:val="{e83f85d5-0da9-43cb-a662-6eef0753cf11}"/>
        <w:style w:val=""/>
        <w:category>
          <w:name w:val="常规"/>
          <w:gallery w:val="placeholder"/>
        </w:category>
        <w:types>
          <w:type w:val="bbPlcHdr"/>
        </w:types>
        <w:behaviors>
          <w:behavior w:val="content"/>
        </w:behaviors>
        <w:description w:val=""/>
        <w:guid w:val="{e83f85d5-0da9-43cb-a662-6eef0753cf11}"/>
      </w:docPartPr>
      <w:docPartBody>
        <w:p>
          <w:r>
            <w:rPr>
              <w:color w:val="808080"/>
            </w:rPr>
            <w:t>单击此处输入文字。</w:t>
          </w:r>
        </w:p>
      </w:docPartBody>
    </w:docPart>
    <w:docPart>
      <w:docPartPr>
        <w:name w:val="{071fe655-5ee3-45ab-8dd5-52732b747a3a}"/>
        <w:style w:val=""/>
        <w:category>
          <w:name w:val="常规"/>
          <w:gallery w:val="placeholder"/>
        </w:category>
        <w:types>
          <w:type w:val="bbPlcHdr"/>
        </w:types>
        <w:behaviors>
          <w:behavior w:val="content"/>
        </w:behaviors>
        <w:description w:val=""/>
        <w:guid w:val="{071fe655-5ee3-45ab-8dd5-52732b747a3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2</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admin</cp:lastModifiedBy>
  <cp:lastPrinted>2019-07-02T04:02:00Z</cp:lastPrinted>
  <dcterms:modified xsi:type="dcterms:W3CDTF">2019-07-16T06:12:50Z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