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参数要求</w:t>
      </w:r>
    </w:p>
    <w:p>
      <w:pPr>
        <w:widowControl/>
        <w:spacing w:line="580" w:lineRule="exact"/>
        <w:jc w:val="left"/>
        <w:rPr>
          <w:rFonts w:hint="eastAsia" w:ascii="仿宋" w:hAnsi="仿宋" w:eastAsia="仿宋" w:cs="仿宋"/>
          <w:kern w:val="2"/>
          <w:sz w:val="30"/>
          <w:szCs w:val="30"/>
          <w:lang w:val="en-US" w:eastAsia="zh-CN" w:bidi="ar-SA"/>
        </w:rPr>
      </w:pPr>
    </w:p>
    <w:tbl>
      <w:tblPr>
        <w:tblStyle w:val="3"/>
        <w:tblW w:w="13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7140"/>
        <w:gridCol w:w="1935"/>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93" w:type="dxa"/>
          </w:tcPr>
          <w:p>
            <w:pPr>
              <w:widowControl/>
              <w:spacing w:line="580" w:lineRule="exact"/>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预计点位数量</w:t>
            </w:r>
          </w:p>
        </w:tc>
        <w:tc>
          <w:tcPr>
            <w:tcW w:w="7140" w:type="dxa"/>
          </w:tcPr>
          <w:p>
            <w:pPr>
              <w:widowControl/>
              <w:spacing w:line="580" w:lineRule="exact"/>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参数</w:t>
            </w:r>
          </w:p>
        </w:tc>
        <w:tc>
          <w:tcPr>
            <w:tcW w:w="1935" w:type="dxa"/>
          </w:tcPr>
          <w:p>
            <w:pPr>
              <w:widowControl/>
              <w:spacing w:line="580" w:lineRule="exact"/>
              <w:jc w:val="center"/>
              <w:rPr>
                <w:rFonts w:hint="eastAsia" w:ascii="仿宋" w:hAnsi="仿宋" w:eastAsia="仿宋" w:cs="仿宋"/>
                <w:kern w:val="2"/>
                <w:sz w:val="30"/>
                <w:szCs w:val="30"/>
                <w:vertAlign w:val="baseline"/>
                <w:lang w:val="en-US" w:eastAsia="zh-CN" w:bidi="ar-SA"/>
              </w:rPr>
            </w:pPr>
            <w:r>
              <w:rPr>
                <w:rFonts w:hint="eastAsia" w:ascii="方正仿宋简体" w:hAnsi="方正仿宋简体" w:eastAsia="方正仿宋简体" w:cs="方正仿宋简体"/>
                <w:sz w:val="32"/>
                <w:szCs w:val="32"/>
                <w:vertAlign w:val="baseline"/>
                <w:lang w:val="en-US" w:eastAsia="zh-CN"/>
              </w:rPr>
              <w:t>预计单价 （元/月台）</w:t>
            </w:r>
          </w:p>
        </w:tc>
        <w:tc>
          <w:tcPr>
            <w:tcW w:w="2521" w:type="dxa"/>
          </w:tcPr>
          <w:p>
            <w:pPr>
              <w:widowControl/>
              <w:spacing w:line="580" w:lineRule="exact"/>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3" w:type="dxa"/>
          </w:tcPr>
          <w:p>
            <w:pPr>
              <w:widowControl/>
              <w:spacing w:line="580" w:lineRule="exact"/>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28台</w:t>
            </w:r>
          </w:p>
        </w:tc>
        <w:tc>
          <w:tcPr>
            <w:tcW w:w="7140" w:type="dxa"/>
          </w:tcPr>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1.影像存储不得低于15天，</w:t>
            </w:r>
          </w:p>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2.摄像头参数：</w:t>
            </w:r>
          </w:p>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像素&gt;=400万；支持红外与可见光光源夜视，日夜全彩监控；内置大功率扬声器，支持双向语音对讲；支持人形侦测，声光报警、区域入侵告警；内置SD内存卡且支持云存储；POE供电，防水防尘。</w:t>
            </w:r>
          </w:p>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3.平台软件核心能力：</w:t>
            </w:r>
          </w:p>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接入能力：通过GB/T28181协议、ONVIF协议、SDK与终端设备对接，实现监控摄像头的接入汇聚。</w:t>
            </w:r>
          </w:p>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流媒体能力：提供取流对接、流媒体服务、RTP封装功能，提供视频流获取、复制、分发、转发能力。</w:t>
            </w:r>
          </w:p>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转码能力。提供降码率/降分辨率/降帧率/码流转换功能，实现标准视频流向标清、高清、超清、1080P视频码率的转换。</w:t>
            </w:r>
          </w:p>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协转能力：提供RTSP转RTMP、HLS协议功能，实现CS客户端、BS客户端多终端播放。</w:t>
            </w:r>
          </w:p>
          <w:p>
            <w:pP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存储能力：提供具有文件切片、文件读写、文件管理、磁盘挂载、切片策略、资源分配、磁盘分配等功能。实现分布式存储与云存储。</w:t>
            </w:r>
          </w:p>
          <w:p>
            <w:pPr>
              <w:widowControl/>
              <w:spacing w:line="580" w:lineRule="exact"/>
              <w:jc w:val="center"/>
              <w:rPr>
                <w:rFonts w:hint="default" w:ascii="仿宋" w:hAnsi="仿宋" w:eastAsia="仿宋" w:cs="仿宋"/>
                <w:kern w:val="2"/>
                <w:sz w:val="30"/>
                <w:szCs w:val="30"/>
                <w:vertAlign w:val="baseline"/>
                <w:lang w:val="en-US" w:eastAsia="zh-CN" w:bidi="ar-SA"/>
              </w:rPr>
            </w:pPr>
          </w:p>
        </w:tc>
        <w:tc>
          <w:tcPr>
            <w:tcW w:w="1935" w:type="dxa"/>
          </w:tcPr>
          <w:p>
            <w:pPr>
              <w:widowControl/>
              <w:spacing w:line="580" w:lineRule="exact"/>
              <w:jc w:val="center"/>
              <w:rPr>
                <w:rFonts w:hint="eastAsia" w:ascii="仿宋" w:hAnsi="仿宋" w:eastAsia="仿宋" w:cs="仿宋"/>
                <w:kern w:val="2"/>
                <w:sz w:val="30"/>
                <w:szCs w:val="30"/>
                <w:vertAlign w:val="baseline"/>
                <w:lang w:val="en-US" w:eastAsia="zh-CN" w:bidi="ar-SA"/>
              </w:rPr>
            </w:pPr>
          </w:p>
          <w:p>
            <w:pPr>
              <w:widowControl/>
              <w:spacing w:line="580" w:lineRule="exact"/>
              <w:jc w:val="center"/>
              <w:rPr>
                <w:rFonts w:hint="eastAsia" w:ascii="仿宋" w:hAnsi="仿宋" w:eastAsia="仿宋" w:cs="仿宋"/>
                <w:kern w:val="2"/>
                <w:sz w:val="30"/>
                <w:szCs w:val="30"/>
                <w:vertAlign w:val="baseline"/>
                <w:lang w:val="en-US" w:eastAsia="zh-CN" w:bidi="ar-SA"/>
              </w:rPr>
            </w:pPr>
          </w:p>
          <w:p>
            <w:pPr>
              <w:widowControl/>
              <w:spacing w:line="580" w:lineRule="exact"/>
              <w:jc w:val="center"/>
              <w:rPr>
                <w:rFonts w:hint="eastAsia" w:ascii="仿宋" w:hAnsi="仿宋" w:eastAsia="仿宋" w:cs="仿宋"/>
                <w:kern w:val="2"/>
                <w:sz w:val="30"/>
                <w:szCs w:val="30"/>
                <w:vertAlign w:val="baseline"/>
                <w:lang w:val="en-US" w:eastAsia="zh-CN" w:bidi="ar-SA"/>
              </w:rPr>
            </w:pPr>
          </w:p>
          <w:p>
            <w:pPr>
              <w:widowControl/>
              <w:spacing w:line="580" w:lineRule="exact"/>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每台价格不得超过59.5元</w:t>
            </w:r>
          </w:p>
        </w:tc>
        <w:tc>
          <w:tcPr>
            <w:tcW w:w="2521" w:type="dxa"/>
          </w:tcPr>
          <w:p>
            <w:pPr>
              <w:widowControl/>
              <w:spacing w:line="580" w:lineRule="exact"/>
              <w:jc w:val="left"/>
              <w:rPr>
                <w:rFonts w:hint="default"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采用租赁形式，此次租期为三年，所</w:t>
            </w:r>
            <w:bookmarkStart w:id="0" w:name="_GoBack"/>
            <w:bookmarkEnd w:id="0"/>
            <w:r>
              <w:rPr>
                <w:rFonts w:hint="eastAsia" w:ascii="仿宋" w:hAnsi="仿宋" w:eastAsia="仿宋" w:cs="仿宋"/>
                <w:kern w:val="2"/>
                <w:sz w:val="30"/>
                <w:szCs w:val="30"/>
                <w:vertAlign w:val="baseline"/>
                <w:lang w:val="en-US" w:eastAsia="zh-CN" w:bidi="ar-SA"/>
              </w:rPr>
              <w:t>有相关硬件、软件、线路铺设等设备由中标方提供，需能满足我院使用需求。出现故障5分钟内响应，30分钟内到达现场处理，2个小时内解决好。</w:t>
            </w:r>
          </w:p>
        </w:tc>
      </w:tr>
    </w:tbl>
    <w:p>
      <w:pPr>
        <w:widowControl/>
        <w:spacing w:line="580" w:lineRule="exact"/>
        <w:jc w:val="left"/>
        <w:rPr>
          <w:rFonts w:hint="eastAsia" w:ascii="仿宋" w:hAnsi="仿宋" w:eastAsia="仿宋" w:cs="仿宋"/>
          <w:kern w:val="2"/>
          <w:sz w:val="30"/>
          <w:szCs w:val="30"/>
          <w:lang w:val="en-US" w:eastAsia="zh-CN" w:bidi="ar-SA"/>
        </w:rPr>
      </w:pPr>
    </w:p>
    <w:p>
      <w:pPr>
        <w:widowControl/>
        <w:spacing w:line="580" w:lineRule="exact"/>
        <w:jc w:val="left"/>
        <w:rPr>
          <w:rFonts w:hint="eastAsia" w:ascii="仿宋" w:hAnsi="仿宋" w:eastAsia="仿宋" w:cs="仿宋"/>
          <w:kern w:val="2"/>
          <w:sz w:val="30"/>
          <w:szCs w:val="30"/>
          <w:lang w:val="en-US" w:eastAsia="zh-CN" w:bidi="ar-SA"/>
        </w:rPr>
      </w:pPr>
    </w:p>
    <w:p>
      <w:pPr>
        <w:widowControl/>
        <w:spacing w:line="580" w:lineRule="exact"/>
        <w:jc w:val="center"/>
        <w:rPr>
          <w:rFonts w:hint="eastAsia" w:ascii="仿宋" w:hAnsi="仿宋" w:eastAsia="仿宋" w:cs="仿宋"/>
          <w:kern w:val="2"/>
          <w:sz w:val="30"/>
          <w:szCs w:val="30"/>
          <w:lang w:val="en-US" w:eastAsia="zh-CN" w:bidi="ar-SA"/>
        </w:rPr>
      </w:pPr>
    </w:p>
    <w:p>
      <w:pPr>
        <w:widowControl/>
        <w:spacing w:line="580" w:lineRule="exact"/>
        <w:jc w:val="center"/>
        <w:rPr>
          <w:rFonts w:hint="eastAsia" w:ascii="仿宋" w:hAnsi="仿宋" w:eastAsia="仿宋" w:cs="仿宋"/>
          <w:kern w:val="2"/>
          <w:sz w:val="30"/>
          <w:szCs w:val="30"/>
          <w:lang w:val="en-US" w:eastAsia="zh-CN" w:bidi="ar-SA"/>
        </w:rPr>
      </w:pPr>
    </w:p>
    <w:p>
      <w:pPr>
        <w:jc w:val="center"/>
        <w:rPr>
          <w:sz w:val="32"/>
          <w:szCs w:val="32"/>
        </w:rPr>
      </w:pPr>
      <w:r>
        <w:rPr>
          <w:rFonts w:hint="eastAsia"/>
          <w:sz w:val="32"/>
          <w:szCs w:val="32"/>
        </w:rPr>
        <w:t>评分表</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2648"/>
        <w:gridCol w:w="1466"/>
        <w:gridCol w:w="6303"/>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6"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934"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评分因素</w:t>
            </w:r>
          </w:p>
        </w:tc>
        <w:tc>
          <w:tcPr>
            <w:tcW w:w="51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分值</w:t>
            </w:r>
          </w:p>
        </w:tc>
        <w:tc>
          <w:tcPr>
            <w:tcW w:w="2223"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评分标准</w:t>
            </w:r>
          </w:p>
        </w:tc>
        <w:tc>
          <w:tcPr>
            <w:tcW w:w="869" w:type="pct"/>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456"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34"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w:t>
            </w:r>
            <w:r>
              <w:rPr>
                <w:rFonts w:hint="eastAsia" w:ascii="宋体" w:hAnsi="宋体" w:cs="宋体"/>
                <w:color w:val="000000"/>
                <w:kern w:val="0"/>
                <w:sz w:val="24"/>
                <w:szCs w:val="24"/>
                <w:lang w:val="en-US" w:eastAsia="zh-CN"/>
              </w:rPr>
              <w:t>30</w:t>
            </w:r>
            <w:r>
              <w:rPr>
                <w:rFonts w:hint="eastAsia" w:ascii="宋体" w:hAnsi="宋体" w:cs="宋体"/>
                <w:color w:val="000000"/>
                <w:kern w:val="0"/>
                <w:sz w:val="24"/>
                <w:szCs w:val="24"/>
              </w:rPr>
              <w:t>%</w:t>
            </w:r>
          </w:p>
        </w:tc>
        <w:tc>
          <w:tcPr>
            <w:tcW w:w="517" w:type="pct"/>
            <w:vAlign w:val="center"/>
          </w:tcPr>
          <w:p>
            <w:pPr>
              <w:widowControl/>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30</w:t>
            </w:r>
          </w:p>
        </w:tc>
        <w:tc>
          <w:tcPr>
            <w:tcW w:w="2223" w:type="pct"/>
            <w:vAlign w:val="center"/>
          </w:tcPr>
          <w:p>
            <w:pPr>
              <w:widowControl/>
              <w:jc w:val="left"/>
              <w:rPr>
                <w:rFonts w:ascii="宋体" w:hAnsi="宋体" w:cs="宋体"/>
                <w:color w:val="000000"/>
                <w:kern w:val="0"/>
                <w:sz w:val="24"/>
                <w:szCs w:val="24"/>
              </w:rPr>
            </w:pPr>
            <w:r>
              <w:rPr>
                <w:rFonts w:hint="eastAsia" w:ascii="宋体" w:hAnsi="宋体"/>
                <w:caps/>
                <w:color w:val="000000"/>
                <w:sz w:val="24"/>
                <w:szCs w:val="24"/>
              </w:rPr>
              <w:t>满足招标采购文件要求且投标价格最低的投标报价为评标基准价，其价格分为满分。其他投标人的报价得分=(评标基准价÷投标报价或评标价)×</w:t>
            </w:r>
            <w:r>
              <w:rPr>
                <w:rFonts w:hint="eastAsia" w:ascii="宋体" w:hAnsi="宋体"/>
                <w:caps/>
                <w:color w:val="000000"/>
                <w:sz w:val="24"/>
                <w:szCs w:val="24"/>
                <w:lang w:val="en-US" w:eastAsia="zh-CN"/>
              </w:rPr>
              <w:t>30</w:t>
            </w:r>
            <w:r>
              <w:rPr>
                <w:rFonts w:hint="eastAsia" w:ascii="宋体" w:hAnsi="宋体"/>
                <w:caps/>
                <w:color w:val="000000"/>
                <w:sz w:val="24"/>
                <w:szCs w:val="24"/>
              </w:rPr>
              <w:t>分。</w:t>
            </w:r>
          </w:p>
        </w:tc>
        <w:tc>
          <w:tcPr>
            <w:tcW w:w="869" w:type="pct"/>
          </w:tcPr>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6" w:type="pct"/>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934" w:type="pct"/>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技术</w:t>
            </w:r>
            <w:r>
              <w:rPr>
                <w:rFonts w:hint="eastAsia" w:ascii="宋体" w:hAnsi="宋体" w:cs="宋体"/>
                <w:color w:val="000000"/>
                <w:kern w:val="0"/>
                <w:sz w:val="24"/>
                <w:szCs w:val="24"/>
                <w:lang w:val="en-US" w:eastAsia="zh-CN"/>
              </w:rPr>
              <w:t>42</w:t>
            </w:r>
            <w:r>
              <w:rPr>
                <w:rFonts w:hint="eastAsia" w:ascii="宋体" w:hAnsi="宋体" w:cs="宋体"/>
                <w:color w:val="000000"/>
                <w:kern w:val="0"/>
                <w:sz w:val="24"/>
                <w:szCs w:val="24"/>
              </w:rPr>
              <w:t>%</w:t>
            </w:r>
          </w:p>
        </w:tc>
        <w:tc>
          <w:tcPr>
            <w:tcW w:w="51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2223" w:type="pct"/>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投标产品技术指标、配置完全满足</w:t>
            </w:r>
            <w:r>
              <w:rPr>
                <w:rFonts w:hint="eastAsia" w:ascii="宋体" w:hAnsi="宋体"/>
                <w:caps/>
                <w:color w:val="000000"/>
                <w:sz w:val="24"/>
                <w:szCs w:val="24"/>
              </w:rPr>
              <w:t>招标采购文件</w:t>
            </w:r>
            <w:r>
              <w:rPr>
                <w:rFonts w:hint="eastAsia" w:ascii="宋体" w:hAnsi="宋体" w:cs="宋体"/>
                <w:color w:val="000000"/>
                <w:kern w:val="0"/>
                <w:sz w:val="24"/>
                <w:szCs w:val="24"/>
              </w:rPr>
              <w:t>要求的得</w:t>
            </w:r>
            <w:r>
              <w:rPr>
                <w:rFonts w:ascii="宋体" w:hAnsi="宋体" w:cs="宋体"/>
                <w:color w:val="000000"/>
                <w:kern w:val="0"/>
                <w:sz w:val="24"/>
                <w:szCs w:val="24"/>
              </w:rPr>
              <w:t>3</w:t>
            </w:r>
            <w:r>
              <w:rPr>
                <w:rFonts w:hint="eastAsia" w:ascii="宋体" w:hAnsi="宋体" w:cs="宋体"/>
                <w:color w:val="000000"/>
                <w:kern w:val="0"/>
                <w:sz w:val="24"/>
                <w:szCs w:val="24"/>
              </w:rPr>
              <w:t>0分；与</w:t>
            </w:r>
            <w:r>
              <w:rPr>
                <w:rFonts w:hint="eastAsia" w:ascii="宋体" w:hAnsi="宋体"/>
                <w:caps/>
                <w:color w:val="000000"/>
                <w:sz w:val="24"/>
                <w:szCs w:val="24"/>
              </w:rPr>
              <w:t>招标文件</w:t>
            </w:r>
            <w:r>
              <w:rPr>
                <w:rFonts w:hint="eastAsia" w:ascii="宋体" w:hAnsi="宋体" w:cs="宋体"/>
                <w:color w:val="000000"/>
                <w:kern w:val="0"/>
                <w:sz w:val="24"/>
                <w:szCs w:val="24"/>
              </w:rPr>
              <w:t>要求有非实质性负偏离的一项扣</w:t>
            </w:r>
            <w:r>
              <w:rPr>
                <w:rFonts w:ascii="宋体" w:hAnsi="宋体" w:cs="宋体"/>
                <w:color w:val="000000"/>
                <w:kern w:val="0"/>
                <w:sz w:val="24"/>
                <w:szCs w:val="24"/>
              </w:rPr>
              <w:t>2</w:t>
            </w:r>
            <w:r>
              <w:rPr>
                <w:rFonts w:hint="eastAsia" w:ascii="宋体" w:hAnsi="宋体" w:cs="宋体"/>
                <w:color w:val="000000"/>
                <w:kern w:val="0"/>
                <w:sz w:val="24"/>
                <w:szCs w:val="24"/>
              </w:rPr>
              <w:t>分，扣完为止。</w:t>
            </w:r>
          </w:p>
        </w:tc>
        <w:tc>
          <w:tcPr>
            <w:tcW w:w="869" w:type="pct"/>
          </w:tcPr>
          <w:p>
            <w:pPr>
              <w:widowControl/>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6" w:type="pct"/>
            <w:vMerge w:val="continue"/>
            <w:vAlign w:val="center"/>
          </w:tcPr>
          <w:p>
            <w:pPr>
              <w:widowControl/>
              <w:jc w:val="center"/>
              <w:rPr>
                <w:rFonts w:ascii="宋体" w:hAnsi="宋体" w:cs="宋体"/>
                <w:color w:val="000000"/>
                <w:kern w:val="0"/>
                <w:sz w:val="24"/>
                <w:szCs w:val="24"/>
              </w:rPr>
            </w:pPr>
          </w:p>
        </w:tc>
        <w:tc>
          <w:tcPr>
            <w:tcW w:w="934" w:type="pct"/>
            <w:vMerge w:val="continue"/>
            <w:vAlign w:val="center"/>
          </w:tcPr>
          <w:p>
            <w:pPr>
              <w:widowControl/>
              <w:rPr>
                <w:rFonts w:ascii="宋体" w:hAnsi="宋体" w:cs="宋体"/>
                <w:color w:val="000000"/>
                <w:kern w:val="0"/>
                <w:sz w:val="24"/>
                <w:szCs w:val="24"/>
              </w:rPr>
            </w:pPr>
          </w:p>
        </w:tc>
        <w:tc>
          <w:tcPr>
            <w:tcW w:w="517" w:type="pct"/>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val="en-US" w:eastAsia="zh-CN"/>
              </w:rPr>
              <w:t>6</w:t>
            </w:r>
          </w:p>
        </w:tc>
        <w:tc>
          <w:tcPr>
            <w:tcW w:w="2223" w:type="pct"/>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投标人</w:t>
            </w:r>
            <w:r>
              <w:rPr>
                <w:rFonts w:ascii="宋体" w:hAnsi="宋体" w:cs="宋体"/>
                <w:color w:val="000000"/>
                <w:kern w:val="0"/>
                <w:sz w:val="24"/>
                <w:szCs w:val="24"/>
              </w:rPr>
              <w:t>的视频</w:t>
            </w:r>
            <w:r>
              <w:rPr>
                <w:rFonts w:hint="eastAsia" w:ascii="宋体" w:hAnsi="宋体" w:cs="宋体"/>
                <w:color w:val="000000"/>
                <w:kern w:val="0"/>
                <w:sz w:val="24"/>
                <w:szCs w:val="24"/>
              </w:rPr>
              <w:t>云</w:t>
            </w:r>
            <w:r>
              <w:rPr>
                <w:rFonts w:ascii="宋体" w:hAnsi="宋体" w:cs="宋体"/>
                <w:color w:val="000000"/>
                <w:kern w:val="0"/>
                <w:sz w:val="24"/>
                <w:szCs w:val="24"/>
              </w:rPr>
              <w:t>平台</w:t>
            </w:r>
            <w:r>
              <w:rPr>
                <w:rFonts w:hint="eastAsia" w:ascii="宋体" w:hAnsi="宋体" w:cs="宋体"/>
                <w:color w:val="000000"/>
                <w:kern w:val="0"/>
                <w:sz w:val="24"/>
                <w:szCs w:val="24"/>
              </w:rPr>
              <w:t>具有</w:t>
            </w:r>
            <w:r>
              <w:rPr>
                <w:rFonts w:ascii="宋体" w:hAnsi="宋体" w:cs="宋体"/>
                <w:color w:val="000000"/>
                <w:kern w:val="0"/>
                <w:sz w:val="24"/>
                <w:szCs w:val="24"/>
              </w:rPr>
              <w:t>自有</w:t>
            </w:r>
            <w:r>
              <w:rPr>
                <w:rFonts w:hint="eastAsia" w:ascii="宋体" w:hAnsi="宋体" w:cs="宋体"/>
                <w:color w:val="000000"/>
                <w:kern w:val="0"/>
                <w:sz w:val="24"/>
                <w:szCs w:val="24"/>
              </w:rPr>
              <w:t>知识</w:t>
            </w:r>
            <w:r>
              <w:rPr>
                <w:rFonts w:ascii="宋体" w:hAnsi="宋体" w:cs="宋体"/>
                <w:color w:val="000000"/>
                <w:kern w:val="0"/>
                <w:sz w:val="24"/>
                <w:szCs w:val="24"/>
              </w:rPr>
              <w:t>产权</w:t>
            </w:r>
            <w:r>
              <w:rPr>
                <w:rFonts w:hint="eastAsia" w:ascii="宋体" w:hAnsi="宋体" w:cs="宋体"/>
                <w:color w:val="000000"/>
                <w:kern w:val="0"/>
                <w:sz w:val="24"/>
                <w:szCs w:val="24"/>
              </w:rPr>
              <w:t>（投标人下属子公司或分公司所有知识产权不算在自有知识产权范围内）</w:t>
            </w:r>
          </w:p>
        </w:tc>
        <w:tc>
          <w:tcPr>
            <w:tcW w:w="869" w:type="pct"/>
          </w:tcPr>
          <w:p>
            <w:pPr>
              <w:widowControl/>
              <w:rPr>
                <w:rFonts w:ascii="宋体" w:hAnsi="宋体" w:cs="宋体"/>
                <w:color w:val="000000"/>
                <w:kern w:val="0"/>
                <w:sz w:val="24"/>
                <w:szCs w:val="24"/>
              </w:rPr>
            </w:pPr>
            <w:r>
              <w:rPr>
                <w:rFonts w:hint="eastAsia" w:ascii="宋体" w:hAnsi="宋体" w:cs="宋体"/>
                <w:color w:val="000000"/>
                <w:kern w:val="0"/>
                <w:sz w:val="24"/>
                <w:szCs w:val="24"/>
              </w:rPr>
              <w:t>提供计算机软件著作权证书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6" w:type="pct"/>
            <w:vMerge w:val="continue"/>
            <w:vAlign w:val="center"/>
          </w:tcPr>
          <w:p>
            <w:pPr>
              <w:widowControl/>
              <w:jc w:val="center"/>
              <w:rPr>
                <w:rFonts w:ascii="宋体" w:hAnsi="宋体" w:cs="宋体"/>
                <w:color w:val="000000"/>
                <w:kern w:val="0"/>
                <w:sz w:val="24"/>
                <w:szCs w:val="24"/>
              </w:rPr>
            </w:pPr>
          </w:p>
        </w:tc>
        <w:tc>
          <w:tcPr>
            <w:tcW w:w="934" w:type="pct"/>
            <w:vMerge w:val="continue"/>
            <w:vAlign w:val="center"/>
          </w:tcPr>
          <w:p>
            <w:pPr>
              <w:widowControl/>
              <w:rPr>
                <w:rFonts w:ascii="宋体" w:hAnsi="宋体" w:cs="宋体"/>
                <w:color w:val="000000"/>
                <w:kern w:val="0"/>
                <w:sz w:val="24"/>
                <w:szCs w:val="24"/>
              </w:rPr>
            </w:pPr>
          </w:p>
        </w:tc>
        <w:tc>
          <w:tcPr>
            <w:tcW w:w="517" w:type="pct"/>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val="en-US" w:eastAsia="zh-CN"/>
              </w:rPr>
              <w:t>6</w:t>
            </w:r>
          </w:p>
        </w:tc>
        <w:tc>
          <w:tcPr>
            <w:tcW w:w="2223" w:type="pct"/>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对接能力，能实现与上级管理部门监控平台无缝对接。</w:t>
            </w:r>
          </w:p>
        </w:tc>
        <w:tc>
          <w:tcPr>
            <w:tcW w:w="869" w:type="pct"/>
          </w:tcPr>
          <w:p>
            <w:pPr>
              <w:widowControl/>
              <w:rPr>
                <w:rFonts w:hint="default" w:ascii="宋体" w:hAnsi="宋体" w:cs="宋体" w:eastAsia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56" w:type="pct"/>
            <w:vMerge w:val="restar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934"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信息安全能力1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w:t>
            </w:r>
          </w:p>
        </w:tc>
        <w:tc>
          <w:tcPr>
            <w:tcW w:w="517" w:type="pct"/>
            <w:vAlign w:val="center"/>
          </w:tcPr>
          <w:p>
            <w:pPr>
              <w:widowControl/>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2223" w:type="pct"/>
            <w:vAlign w:val="center"/>
          </w:tcPr>
          <w:p>
            <w:pPr>
              <w:widowControl/>
              <w:jc w:val="left"/>
              <w:rPr>
                <w:rFonts w:ascii="宋体" w:hAnsi="宋体" w:cs="宋体"/>
                <w:color w:val="000000"/>
                <w:kern w:val="0"/>
                <w:sz w:val="24"/>
                <w:szCs w:val="24"/>
              </w:rPr>
            </w:pPr>
            <w:r>
              <w:rPr>
                <w:rFonts w:hint="eastAsia" w:ascii="宋体" w:hAnsi="宋体"/>
                <w:bCs/>
                <w:sz w:val="24"/>
                <w:szCs w:val="24"/>
              </w:rPr>
              <w:t>投标人的视频云平台已通过信息安全等级保护三级测评</w:t>
            </w:r>
          </w:p>
        </w:tc>
        <w:tc>
          <w:tcPr>
            <w:tcW w:w="869" w:type="pct"/>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提供信息安全等级保护备案证明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56" w:type="pct"/>
            <w:vMerge w:val="continue"/>
            <w:vAlign w:val="center"/>
          </w:tcPr>
          <w:p>
            <w:pPr>
              <w:widowControl/>
              <w:jc w:val="center"/>
              <w:rPr>
                <w:rFonts w:ascii="宋体" w:hAnsi="宋体" w:cs="宋体"/>
                <w:color w:val="000000"/>
                <w:kern w:val="0"/>
                <w:sz w:val="24"/>
                <w:szCs w:val="24"/>
              </w:rPr>
            </w:pPr>
          </w:p>
        </w:tc>
        <w:tc>
          <w:tcPr>
            <w:tcW w:w="934"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项目履约能力</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w:t>
            </w:r>
          </w:p>
        </w:tc>
        <w:tc>
          <w:tcPr>
            <w:tcW w:w="517" w:type="pct"/>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val="en-US" w:eastAsia="zh-CN"/>
              </w:rPr>
              <w:t>6</w:t>
            </w:r>
          </w:p>
        </w:tc>
        <w:tc>
          <w:tcPr>
            <w:tcW w:w="2223" w:type="pct"/>
            <w:vAlign w:val="center"/>
          </w:tcPr>
          <w:p>
            <w:pPr>
              <w:widowControl/>
              <w:jc w:val="left"/>
              <w:rPr>
                <w:rFonts w:ascii="宋体" w:hAnsi="宋体"/>
                <w:bCs/>
                <w:sz w:val="24"/>
                <w:szCs w:val="24"/>
              </w:rPr>
            </w:pPr>
            <w:r>
              <w:rPr>
                <w:rFonts w:hint="eastAsia" w:ascii="宋体" w:hAnsi="宋体"/>
                <w:sz w:val="24"/>
                <w:szCs w:val="24"/>
              </w:rPr>
              <w:t>投标人具有类似项目业绩，每提供一个得</w:t>
            </w:r>
            <w:r>
              <w:rPr>
                <w:rFonts w:ascii="宋体" w:hAnsi="宋体"/>
                <w:sz w:val="24"/>
                <w:szCs w:val="24"/>
              </w:rPr>
              <w:t>2</w:t>
            </w:r>
            <w:r>
              <w:rPr>
                <w:rFonts w:hint="eastAsia" w:ascii="宋体" w:hAnsi="宋体"/>
                <w:sz w:val="24"/>
                <w:szCs w:val="24"/>
              </w:rPr>
              <w:t>分，最多得</w:t>
            </w:r>
            <w:r>
              <w:rPr>
                <w:rFonts w:hint="eastAsia" w:ascii="宋体" w:hAnsi="宋体"/>
                <w:sz w:val="24"/>
                <w:szCs w:val="24"/>
                <w:lang w:val="en-US" w:eastAsia="zh-CN"/>
              </w:rPr>
              <w:t>6</w:t>
            </w:r>
            <w:r>
              <w:rPr>
                <w:rFonts w:hint="eastAsia" w:ascii="宋体" w:hAnsi="宋体"/>
                <w:sz w:val="24"/>
                <w:szCs w:val="24"/>
              </w:rPr>
              <w:t>分。</w:t>
            </w:r>
          </w:p>
        </w:tc>
        <w:tc>
          <w:tcPr>
            <w:tcW w:w="869" w:type="pct"/>
          </w:tcPr>
          <w:p>
            <w:pPr>
              <w:widowControl/>
              <w:jc w:val="left"/>
              <w:rPr>
                <w:rFonts w:ascii="宋体" w:hAnsi="宋体" w:cs="宋体"/>
                <w:color w:val="000000"/>
                <w:kern w:val="0"/>
                <w:sz w:val="24"/>
                <w:szCs w:val="24"/>
              </w:rPr>
            </w:pPr>
            <w:r>
              <w:rPr>
                <w:rFonts w:hint="eastAsia" w:ascii="宋体" w:hAnsi="宋体"/>
                <w:sz w:val="24"/>
                <w:szCs w:val="24"/>
              </w:rPr>
              <w:t>提供合同复印件或协议复印件并加盖投标人公章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6" w:type="pct"/>
            <w:vMerge w:val="continue"/>
            <w:vAlign w:val="center"/>
          </w:tcPr>
          <w:p>
            <w:pPr>
              <w:widowControl/>
              <w:jc w:val="center"/>
              <w:rPr>
                <w:rFonts w:ascii="宋体" w:hAnsi="宋体" w:cs="宋体"/>
                <w:color w:val="000000"/>
                <w:kern w:val="0"/>
                <w:sz w:val="24"/>
                <w:szCs w:val="24"/>
              </w:rPr>
            </w:pPr>
          </w:p>
        </w:tc>
        <w:tc>
          <w:tcPr>
            <w:tcW w:w="934"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售后服务</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w:t>
            </w:r>
          </w:p>
        </w:tc>
        <w:tc>
          <w:tcPr>
            <w:tcW w:w="517" w:type="pct"/>
            <w:vAlign w:val="center"/>
          </w:tcPr>
          <w:p>
            <w:pPr>
              <w:widowControl/>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2223" w:type="pct"/>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对本项目的服务保障计划，售后服务承诺、响应时间等。优秀的得</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分，良好的得</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分，一般的得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分，未提供的不得分。</w:t>
            </w:r>
          </w:p>
        </w:tc>
        <w:tc>
          <w:tcPr>
            <w:tcW w:w="869" w:type="pct"/>
          </w:tcPr>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6" w:type="pct"/>
            <w:vAlign w:val="center"/>
          </w:tcPr>
          <w:p>
            <w:pPr>
              <w:widowControl/>
              <w:jc w:val="center"/>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lang w:val="en-US" w:eastAsia="zh-CN"/>
              </w:rPr>
              <w:t>4</w:t>
            </w:r>
          </w:p>
        </w:tc>
        <w:tc>
          <w:tcPr>
            <w:tcW w:w="934"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投标文件的规范性2%</w:t>
            </w:r>
          </w:p>
        </w:tc>
        <w:tc>
          <w:tcPr>
            <w:tcW w:w="517" w:type="pct"/>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223" w:type="pct"/>
            <w:vAlign w:val="center"/>
          </w:tcPr>
          <w:p>
            <w:pPr>
              <w:widowControl/>
              <w:jc w:val="left"/>
              <w:rPr>
                <w:rFonts w:ascii="宋体" w:hAnsi="宋体" w:cs="宋体"/>
                <w:color w:val="000000"/>
                <w:kern w:val="0"/>
                <w:sz w:val="24"/>
                <w:szCs w:val="24"/>
              </w:rPr>
            </w:pPr>
            <w:r>
              <w:rPr>
                <w:rFonts w:hint="eastAsia" w:ascii="宋体" w:hAnsi="宋体"/>
                <w:sz w:val="24"/>
                <w:szCs w:val="24"/>
              </w:rPr>
              <w:t>投标文件制作规范，没有细微偏差情形的得</w:t>
            </w:r>
            <w:r>
              <w:rPr>
                <w:rFonts w:ascii="宋体" w:hAnsi="宋体"/>
                <w:sz w:val="24"/>
                <w:szCs w:val="24"/>
              </w:rPr>
              <w:t>2</w:t>
            </w:r>
            <w:r>
              <w:rPr>
                <w:rFonts w:hint="eastAsia" w:ascii="宋体" w:hAnsi="宋体"/>
                <w:sz w:val="24"/>
                <w:szCs w:val="24"/>
              </w:rPr>
              <w:t>分；有一项细微偏差扣</w:t>
            </w:r>
            <w:r>
              <w:rPr>
                <w:rFonts w:ascii="宋体" w:hAnsi="宋体"/>
                <w:sz w:val="24"/>
                <w:szCs w:val="24"/>
              </w:rPr>
              <w:t>0.5</w:t>
            </w:r>
            <w:r>
              <w:rPr>
                <w:rFonts w:hint="eastAsia" w:ascii="宋体" w:hAnsi="宋体"/>
                <w:sz w:val="24"/>
                <w:szCs w:val="24"/>
              </w:rPr>
              <w:t>分，直至该项分值扣完为止。</w:t>
            </w:r>
          </w:p>
        </w:tc>
        <w:tc>
          <w:tcPr>
            <w:tcW w:w="869" w:type="pct"/>
          </w:tcPr>
          <w:p>
            <w:pPr>
              <w:widowControl/>
              <w:jc w:val="left"/>
              <w:rPr>
                <w:rFonts w:ascii="宋体" w:hAnsi="宋体" w:cs="宋体"/>
                <w:color w:val="000000"/>
                <w:kern w:val="0"/>
                <w:sz w:val="24"/>
                <w:szCs w:val="24"/>
              </w:rPr>
            </w:pPr>
          </w:p>
        </w:tc>
      </w:tr>
    </w:tbl>
    <w:p>
      <w:pPr>
        <w:widowControl/>
        <w:spacing w:line="580" w:lineRule="exact"/>
        <w:jc w:val="center"/>
        <w:rPr>
          <w:rFonts w:hint="default" w:ascii="仿宋" w:hAnsi="仿宋" w:eastAsia="仿宋" w:cs="仿宋"/>
          <w:kern w:val="2"/>
          <w:sz w:val="30"/>
          <w:szCs w:val="30"/>
          <w:lang w:val="en-US" w:eastAsia="zh-CN" w:bidi="ar-S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4A91"/>
    <w:rsid w:val="03320F31"/>
    <w:rsid w:val="048D36A2"/>
    <w:rsid w:val="049D5D69"/>
    <w:rsid w:val="072D06F5"/>
    <w:rsid w:val="074421B9"/>
    <w:rsid w:val="081B0309"/>
    <w:rsid w:val="0962727F"/>
    <w:rsid w:val="09D82453"/>
    <w:rsid w:val="0D6E463E"/>
    <w:rsid w:val="0D816006"/>
    <w:rsid w:val="0E5F6F0D"/>
    <w:rsid w:val="0EEE1346"/>
    <w:rsid w:val="0F282D95"/>
    <w:rsid w:val="119E59FE"/>
    <w:rsid w:val="11E87A58"/>
    <w:rsid w:val="12BA3C11"/>
    <w:rsid w:val="12EC19F8"/>
    <w:rsid w:val="13CE1399"/>
    <w:rsid w:val="1430676E"/>
    <w:rsid w:val="19AC2D71"/>
    <w:rsid w:val="1A6907A7"/>
    <w:rsid w:val="1ABF7434"/>
    <w:rsid w:val="1B6F146F"/>
    <w:rsid w:val="1C090A9B"/>
    <w:rsid w:val="1FCE3925"/>
    <w:rsid w:val="207F5D93"/>
    <w:rsid w:val="212A1A12"/>
    <w:rsid w:val="217E1CBA"/>
    <w:rsid w:val="22C33C06"/>
    <w:rsid w:val="246C3D55"/>
    <w:rsid w:val="25796F0F"/>
    <w:rsid w:val="26532AF1"/>
    <w:rsid w:val="26FA0AC2"/>
    <w:rsid w:val="274508B7"/>
    <w:rsid w:val="2869714E"/>
    <w:rsid w:val="29D90A1D"/>
    <w:rsid w:val="2B226607"/>
    <w:rsid w:val="2BE6524C"/>
    <w:rsid w:val="2D075BA7"/>
    <w:rsid w:val="2E2E3BED"/>
    <w:rsid w:val="30991500"/>
    <w:rsid w:val="323F4A42"/>
    <w:rsid w:val="32521F21"/>
    <w:rsid w:val="35980A08"/>
    <w:rsid w:val="35CC3FB3"/>
    <w:rsid w:val="3715765E"/>
    <w:rsid w:val="376916D1"/>
    <w:rsid w:val="37703CDC"/>
    <w:rsid w:val="388A7F2C"/>
    <w:rsid w:val="39450D4B"/>
    <w:rsid w:val="3DDE0E2E"/>
    <w:rsid w:val="3E087C1A"/>
    <w:rsid w:val="3F0D580D"/>
    <w:rsid w:val="3F685859"/>
    <w:rsid w:val="3F952992"/>
    <w:rsid w:val="413773B0"/>
    <w:rsid w:val="418D2345"/>
    <w:rsid w:val="438713C7"/>
    <w:rsid w:val="43AF0EF2"/>
    <w:rsid w:val="45941119"/>
    <w:rsid w:val="49740EF7"/>
    <w:rsid w:val="4A0925D9"/>
    <w:rsid w:val="4B202D69"/>
    <w:rsid w:val="4C9D47FA"/>
    <w:rsid w:val="4CE33373"/>
    <w:rsid w:val="50EC087D"/>
    <w:rsid w:val="521E53EF"/>
    <w:rsid w:val="52A13581"/>
    <w:rsid w:val="55892ABE"/>
    <w:rsid w:val="567B1A20"/>
    <w:rsid w:val="5BB93A21"/>
    <w:rsid w:val="5BF3560F"/>
    <w:rsid w:val="5CD660BE"/>
    <w:rsid w:val="5D3F6704"/>
    <w:rsid w:val="5EFE7A9D"/>
    <w:rsid w:val="5F7B37E3"/>
    <w:rsid w:val="5FA47DB5"/>
    <w:rsid w:val="60C534DD"/>
    <w:rsid w:val="61C17E31"/>
    <w:rsid w:val="625C05F5"/>
    <w:rsid w:val="63040D36"/>
    <w:rsid w:val="6871633D"/>
    <w:rsid w:val="6AFF3FA0"/>
    <w:rsid w:val="6B6E3CEB"/>
    <w:rsid w:val="6B8E00A2"/>
    <w:rsid w:val="6BF13389"/>
    <w:rsid w:val="6C9F68FD"/>
    <w:rsid w:val="6DDD07A6"/>
    <w:rsid w:val="6E9E11C3"/>
    <w:rsid w:val="71CB384D"/>
    <w:rsid w:val="73B43E7B"/>
    <w:rsid w:val="73E43EA2"/>
    <w:rsid w:val="74606013"/>
    <w:rsid w:val="74B129CE"/>
    <w:rsid w:val="74BB6A1B"/>
    <w:rsid w:val="752C41F0"/>
    <w:rsid w:val="75F7615E"/>
    <w:rsid w:val="76E97C37"/>
    <w:rsid w:val="780762E7"/>
    <w:rsid w:val="79A069A4"/>
    <w:rsid w:val="7A6161A7"/>
    <w:rsid w:val="7DE14962"/>
    <w:rsid w:val="7E377FE5"/>
    <w:rsid w:val="7E742427"/>
    <w:rsid w:val="7F5D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5">
    <w:name w:val="font11"/>
    <w:basedOn w:val="4"/>
    <w:qFormat/>
    <w:uiPriority w:val="0"/>
    <w:rPr>
      <w:rFonts w:ascii="微软雅黑" w:hAnsi="微软雅黑" w:eastAsia="微软雅黑" w:cs="微软雅黑"/>
      <w:color w:val="000000"/>
      <w:sz w:val="16"/>
      <w:szCs w:val="16"/>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101"/>
    <w:basedOn w:val="4"/>
    <w:qFormat/>
    <w:uiPriority w:val="0"/>
    <w:rPr>
      <w:rFonts w:hint="eastAsia" w:ascii="宋体" w:hAnsi="宋体" w:eastAsia="宋体" w:cs="宋体"/>
      <w:color w:val="000000"/>
      <w:sz w:val="20"/>
      <w:szCs w:val="20"/>
      <w:u w:val="none"/>
    </w:rPr>
  </w:style>
  <w:style w:type="character" w:customStyle="1" w:styleId="8">
    <w:name w:val="font9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2021-04-15T02:09:16Z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317245364_btnclosed</vt:lpwstr>
  </property>
  <property fmtid="{D5CDD505-2E9C-101B-9397-08002B2CF9AE}" pid="4" name="ICV">
    <vt:lpwstr>E76991CC39A4448AB043B2953623537A</vt:lpwstr>
  </property>
</Properties>
</file>