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pageBreakBefore w:val="0"/>
        <w:kinsoku/>
        <w:wordWrap/>
        <w:overflowPunct/>
        <w:topLinePunct w:val="0"/>
        <w:bidi w:val="0"/>
        <w:spacing w:line="240" w:lineRule="auto"/>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台式灭菌器</w:t>
      </w:r>
      <w:r>
        <w:rPr>
          <w:rFonts w:hint="eastAsia" w:ascii="方正小标宋简体" w:eastAsia="方正小标宋简体"/>
          <w:spacing w:val="0"/>
          <w:sz w:val="36"/>
          <w:szCs w:val="36"/>
        </w:rPr>
        <w:t>等医用</w:t>
      </w:r>
      <w:r>
        <w:rPr>
          <w:rFonts w:hint="eastAsia" w:ascii="方正小标宋简体" w:eastAsia="方正小标宋简体"/>
          <w:spacing w:val="0"/>
          <w:sz w:val="36"/>
          <w:szCs w:val="36"/>
          <w:lang w:eastAsia="zh-CN"/>
        </w:rPr>
        <w:t>设备</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项目公开招标的采购</w:t>
      </w:r>
      <w:r>
        <w:rPr>
          <w:rFonts w:hint="eastAsia" w:ascii="方正小标宋简体" w:eastAsia="方正小标宋简体"/>
          <w:spacing w:val="0"/>
          <w:sz w:val="36"/>
          <w:szCs w:val="36"/>
        </w:rPr>
        <w:t>公告</w:t>
      </w:r>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台式灭菌器</w:t>
            </w:r>
            <w:r>
              <w:rPr>
                <w:rFonts w:hint="eastAsia" w:ascii="仿宋_GB2312" w:eastAsia="仿宋_GB2312"/>
                <w:sz w:val="24"/>
                <w:szCs w:val="24"/>
              </w:rPr>
              <w:t>等医用</w:t>
            </w:r>
            <w:r>
              <w:rPr>
                <w:rFonts w:hint="eastAsia" w:ascii="仿宋_GB2312" w:eastAsia="仿宋_GB2312"/>
                <w:sz w:val="24"/>
                <w:szCs w:val="24"/>
                <w:lang w:eastAsia="zh-CN"/>
              </w:rPr>
              <w:t>设备</w:t>
            </w:r>
            <w:r>
              <w:rPr>
                <w:rFonts w:hint="eastAsia" w:ascii="仿宋_GB2312" w:eastAsia="仿宋_GB2312"/>
                <w:sz w:val="24"/>
                <w:szCs w:val="24"/>
              </w:rPr>
              <w:t>采购</w:t>
            </w:r>
            <w:r>
              <w:rPr>
                <w:rFonts w:hint="eastAsia" w:ascii="仿宋_GB2312" w:eastAsia="仿宋_GB2312"/>
                <w:sz w:val="24"/>
                <w:szCs w:val="24"/>
                <w:lang w:eastAsia="zh-CN"/>
              </w:rPr>
              <w:t>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pageBreakBefore w:val="0"/>
              <w:kinsoku/>
              <w:wordWrap/>
              <w:overflowPunct/>
              <w:topLinePunct w:val="0"/>
              <w:bidi w:val="0"/>
              <w:spacing w:line="240" w:lineRule="auto"/>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2019/7/2-2019/7/8（5个工作日）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pageBreakBefore w:val="0"/>
              <w:kinsoku/>
              <w:wordWrap/>
              <w:overflowPunct/>
              <w:topLinePunct w:val="0"/>
              <w:bidi w:val="0"/>
              <w:spacing w:line="240" w:lineRule="auto"/>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val="en-US" w:eastAsia="zh-CN"/>
              </w:rPr>
            </w:pPr>
            <w:r>
              <w:rPr>
                <w:rFonts w:hint="eastAsia" w:ascii="仿宋_GB2312" w:eastAsia="仿宋_GB2312"/>
                <w:sz w:val="24"/>
                <w:szCs w:val="24"/>
                <w:lang w:val="en-US" w:eastAsia="zh-CN"/>
              </w:rPr>
              <w:t>2019/7/10 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吴</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备注</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sz w:val="24"/>
                <w:szCs w:val="24"/>
                <w:lang w:eastAsia="zh-CN"/>
              </w:rPr>
              <w:t>台式灭菌器</w:t>
            </w:r>
            <w:r>
              <w:rPr>
                <w:rFonts w:hint="eastAsia" w:ascii="仿宋_GB2312" w:eastAsia="仿宋_GB2312"/>
                <w:sz w:val="24"/>
                <w:szCs w:val="24"/>
              </w:rPr>
              <w:t>等医用</w:t>
            </w:r>
            <w:r>
              <w:rPr>
                <w:rFonts w:hint="eastAsia" w:ascii="仿宋_GB2312" w:eastAsia="仿宋_GB2312"/>
                <w:sz w:val="24"/>
                <w:szCs w:val="24"/>
                <w:lang w:eastAsia="zh-CN"/>
              </w:rPr>
              <w:t>设备</w:t>
            </w:r>
            <w:r>
              <w:rPr>
                <w:rFonts w:hint="eastAsia" w:ascii="仿宋_GB2312" w:eastAsia="仿宋_GB2312"/>
                <w:sz w:val="24"/>
                <w:szCs w:val="24"/>
              </w:rPr>
              <w:t>采购</w:t>
            </w:r>
            <w:r>
              <w:rPr>
                <w:rFonts w:hint="eastAsia" w:ascii="仿宋_GB2312" w:eastAsia="仿宋_GB2312"/>
                <w:sz w:val="24"/>
                <w:szCs w:val="24"/>
                <w:lang w:eastAsia="zh-CN"/>
              </w:rPr>
              <w:t>项目</w:t>
            </w:r>
            <w:r>
              <w:rPr>
                <w:rFonts w:hint="eastAsia" w:ascii="仿宋_GB2312" w:eastAsia="仿宋_GB2312"/>
                <w:sz w:val="24"/>
                <w:szCs w:val="24"/>
              </w:rPr>
              <w:t>报名表</w:t>
            </w:r>
          </w:p>
        </w:tc>
      </w:tr>
    </w:tbl>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台式灭菌器</w:t>
      </w:r>
      <w:r>
        <w:rPr>
          <w:rFonts w:hint="eastAsia" w:ascii="方正小标宋简体" w:hAnsi="方正小标宋简体" w:eastAsia="方正小标宋简体" w:cs="方正小标宋简体"/>
          <w:sz w:val="48"/>
          <w:szCs w:val="48"/>
        </w:rPr>
        <w:t>等医用</w:t>
      </w:r>
      <w:r>
        <w:rPr>
          <w:rFonts w:hint="eastAsia" w:ascii="方正小标宋简体" w:hAnsi="方正小标宋简体" w:eastAsia="方正小标宋简体" w:cs="方正小标宋简体"/>
          <w:sz w:val="48"/>
          <w:szCs w:val="48"/>
          <w:lang w:eastAsia="zh-CN"/>
        </w:rPr>
        <w:t>设备</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pageBreakBefore w:val="0"/>
        <w:kinsoku/>
        <w:wordWrap/>
        <w:overflowPunct/>
        <w:topLinePunct w:val="0"/>
        <w:bidi w:val="0"/>
        <w:spacing w:line="240" w:lineRule="auto"/>
        <w:rPr>
          <w:rFonts w:hint="eastAsia" w:ascii="方正小标宋简体" w:hAnsi="方正小标宋简体" w:eastAsia="方正小标宋简体" w:cs="方正小标宋简体"/>
          <w:sz w:val="52"/>
          <w:szCs w:val="52"/>
        </w:rPr>
      </w:pPr>
    </w:p>
    <w:p>
      <w:pPr>
        <w:pageBreakBefore w:val="0"/>
        <w:tabs>
          <w:tab w:val="left" w:pos="2505"/>
          <w:tab w:val="center" w:pos="4204"/>
        </w:tabs>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p>
    <w:p>
      <w:pPr>
        <w:pageBreakBefore w:val="0"/>
        <w:tabs>
          <w:tab w:val="left" w:pos="2505"/>
          <w:tab w:val="center" w:pos="4204"/>
        </w:tabs>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pageBreakBefore w:val="0"/>
        <w:kinsoku/>
        <w:wordWrap/>
        <w:overflowPunct/>
        <w:topLinePunct w:val="0"/>
        <w:bidi w:val="0"/>
        <w:spacing w:line="240" w:lineRule="auto"/>
        <w:rPr>
          <w:rFonts w:hint="eastAsia" w:ascii="方正小标宋简体" w:hAnsi="方正小标宋简体" w:eastAsia="方正小标宋简体" w:cs="方正小标宋简体"/>
          <w:sz w:val="32"/>
          <w:szCs w:val="32"/>
        </w:rPr>
      </w:pP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bookmarkStart w:id="1" w:name="PO_采购人_1"/>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二O一九年七月</w:t>
      </w:r>
    </w:p>
    <w:p>
      <w:pPr>
        <w:pageBreakBefore w:val="0"/>
        <w:kinsoku/>
        <w:wordWrap/>
        <w:overflowPunct/>
        <w:topLinePunct w:val="0"/>
        <w:bidi w:val="0"/>
        <w:spacing w:line="240" w:lineRule="auto"/>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80036"/>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53" w:name="_GoBack"/>
          <w:bookmarkEnd w:id="53"/>
          <w:bookmarkStart w:id="3" w:name="_Toc30008_WPSOffice_Type1"/>
          <w:r>
            <w:rPr>
              <w:rFonts w:ascii="宋体" w:hAnsi="宋体" w:eastAsia="宋体"/>
              <w:sz w:val="21"/>
            </w:rPr>
            <w:t>目录</w:t>
          </w:r>
        </w:p>
        <w:p>
          <w:pPr>
            <w:pStyle w:val="36"/>
            <w:tabs>
              <w:tab w:val="right" w:leader="dot" w:pos="8845"/>
            </w:tabs>
          </w:pPr>
          <w:r>
            <w:fldChar w:fldCharType="begin"/>
          </w:r>
          <w:r>
            <w:instrText xml:space="preserve"> HYPERLINK \l _Toc20377_WPSOffice_Level1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c8272eaf-5854-4aee-b8f8-66beff89fc3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20377_WPSOffice_Level1Page"/>
          <w:r>
            <w:t>3</w:t>
          </w:r>
          <w:bookmarkEnd w:id="4"/>
          <w:r>
            <w:fldChar w:fldCharType="end"/>
          </w:r>
        </w:p>
        <w:p>
          <w:pPr>
            <w:pStyle w:val="36"/>
            <w:tabs>
              <w:tab w:val="right" w:leader="dot" w:pos="8845"/>
            </w:tabs>
          </w:pPr>
          <w:r>
            <w:fldChar w:fldCharType="begin"/>
          </w:r>
          <w:r>
            <w:instrText xml:space="preserve"> HYPERLINK \l _Toc30008_WPSOffice_Level1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4a1c3524-3acc-4f3b-abe7-e7e40e731d8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30008_WPSOffice_Level1Page"/>
          <w:r>
            <w:t>4</w:t>
          </w:r>
          <w:bookmarkEnd w:id="5"/>
          <w:r>
            <w:fldChar w:fldCharType="end"/>
          </w:r>
        </w:p>
        <w:p>
          <w:pPr>
            <w:pStyle w:val="36"/>
            <w:tabs>
              <w:tab w:val="right" w:leader="dot" w:pos="8845"/>
            </w:tabs>
          </w:pPr>
          <w:r>
            <w:fldChar w:fldCharType="begin"/>
          </w:r>
          <w:r>
            <w:instrText xml:space="preserve"> HYPERLINK \l _Toc30897_WPSOffice_Level1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90d09e08-edf9-4242-ae4a-9557e462693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30897_WPSOffice_Level1Page"/>
          <w:r>
            <w:t>9</w:t>
          </w:r>
          <w:bookmarkEnd w:id="6"/>
          <w:r>
            <w:fldChar w:fldCharType="end"/>
          </w:r>
        </w:p>
        <w:p>
          <w:pPr>
            <w:pStyle w:val="36"/>
            <w:tabs>
              <w:tab w:val="right" w:leader="dot" w:pos="8845"/>
            </w:tabs>
          </w:pPr>
          <w:r>
            <w:fldChar w:fldCharType="begin"/>
          </w:r>
          <w:r>
            <w:instrText xml:space="preserve"> HYPERLINK \l _Toc3654_WPSOffice_Level1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c62c3ec3-9d33-4a74-9666-09493f27974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3654_WPSOffice_Level1Page"/>
          <w:r>
            <w:t>11</w:t>
          </w:r>
          <w:bookmarkEnd w:id="7"/>
          <w:r>
            <w:fldChar w:fldCharType="end"/>
          </w:r>
        </w:p>
        <w:p>
          <w:pPr>
            <w:pStyle w:val="36"/>
            <w:tabs>
              <w:tab w:val="right" w:leader="dot" w:pos="8845"/>
            </w:tabs>
          </w:pPr>
          <w:r>
            <w:fldChar w:fldCharType="begin"/>
          </w:r>
          <w:r>
            <w:instrText xml:space="preserve"> HYPERLINK \l _Toc20023_WPSOffice_Level1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e4a59c50-0217-4582-bfda-c1e564ad3a4a}"/>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20023_WPSOffice_Level1Page"/>
          <w:r>
            <w:t>19</w:t>
          </w:r>
          <w:bookmarkEnd w:id="8"/>
          <w:r>
            <w:fldChar w:fldCharType="end"/>
          </w:r>
        </w:p>
        <w:p>
          <w:pPr>
            <w:pStyle w:val="36"/>
            <w:tabs>
              <w:tab w:val="right" w:leader="dot" w:pos="8845"/>
            </w:tabs>
          </w:pPr>
          <w:r>
            <w:fldChar w:fldCharType="begin"/>
          </w:r>
          <w:r>
            <w:instrText xml:space="preserve"> HYPERLINK \l _Toc10823_WPSOffice_Level1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0036"/>
              <w:placeholder>
                <w:docPart w:val="{e94d57d9-0fc8-46e2-94f8-6235dac48e37}"/>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10823_WPSOffice_Level1Page"/>
          <w:r>
            <w:t>20</w:t>
          </w:r>
          <w:bookmarkEnd w:id="9"/>
          <w:r>
            <w:fldChar w:fldCharType="end"/>
          </w:r>
          <w:bookmarkEnd w:id="3"/>
        </w:p>
      </w:sdtContent>
    </w:sdt>
    <w:p>
      <w:pPr>
        <w:pStyle w:val="35"/>
        <w:pageBreakBefore w:val="0"/>
        <w:kinsoku/>
        <w:wordWrap/>
        <w:overflowPunct/>
        <w:topLinePunct w:val="0"/>
        <w:bidi w:val="0"/>
        <w:spacing w:line="240" w:lineRule="auto"/>
        <w:rPr>
          <w:rFonts w:hint="eastAsia"/>
        </w:rPr>
      </w:pPr>
      <w:r>
        <w:rPr>
          <w:rFonts w:hint="eastAsia"/>
        </w:rPr>
        <w:br w:type="page"/>
      </w:r>
    </w:p>
    <w:p>
      <w:pPr>
        <w:pStyle w:val="35"/>
        <w:pageBreakBefore w:val="0"/>
        <w:kinsoku/>
        <w:wordWrap/>
        <w:overflowPunct/>
        <w:topLinePunct w:val="0"/>
        <w:bidi w:val="0"/>
        <w:spacing w:line="240" w:lineRule="auto"/>
        <w:rPr>
          <w:rFonts w:hint="eastAsia"/>
        </w:rPr>
      </w:pPr>
      <w:bookmarkStart w:id="10" w:name="_Toc20377_WPSOffice_Level1"/>
      <w:r>
        <w:rPr>
          <w:rFonts w:hint="eastAsia"/>
        </w:rPr>
        <w:t>第一章  投标邀请</w:t>
      </w:r>
      <w:bookmarkEnd w:id="10"/>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after="0"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黑体" w:hAnsi="宋体" w:eastAsia="黑体"/>
          <w:sz w:val="24"/>
          <w:szCs w:val="24"/>
        </w:rPr>
        <w:t>三、开标时间</w:t>
      </w:r>
      <w:r>
        <w:rPr>
          <w:rFonts w:hint="eastAsia" w:ascii="黑体" w:hAnsi="宋体" w:eastAsia="黑体"/>
          <w:sz w:val="24"/>
          <w:szCs w:val="24"/>
          <w:lang w:eastAsia="zh-CN"/>
        </w:rPr>
        <w:t>、地点</w:t>
      </w:r>
      <w:r>
        <w:rPr>
          <w:rFonts w:hint="eastAsia" w:ascii="黑体" w:hAnsi="宋体" w:eastAsia="黑体"/>
          <w:sz w:val="24"/>
          <w:szCs w:val="24"/>
        </w:rPr>
        <w:t>及提供资料</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lang w:val="en-US" w:eastAsia="zh-CN"/>
        </w:rPr>
        <w:t>开标时间：2019年7月10日13:30，开标地点：</w:t>
      </w:r>
      <w:r>
        <w:rPr>
          <w:rFonts w:hint="eastAsia" w:ascii="仿宋_GB2312" w:eastAsia="仿宋_GB2312"/>
          <w:sz w:val="24"/>
          <w:szCs w:val="24"/>
        </w:rPr>
        <w:t>资阳市第一人民医院（四川省资阳市仁德西路66号辅助办公楼5楼</w:t>
      </w:r>
      <w:r>
        <w:rPr>
          <w:rFonts w:hint="eastAsia" w:ascii="仿宋_GB2312" w:eastAsia="仿宋_GB2312"/>
          <w:sz w:val="24"/>
          <w:szCs w:val="24"/>
          <w:lang w:eastAsia="zh-CN"/>
        </w:rPr>
        <w:t>会议室</w:t>
      </w:r>
      <w:r>
        <w:rPr>
          <w:rFonts w:hint="eastAsia" w:ascii="仿宋_GB2312" w:eastAsia="仿宋_GB2312"/>
          <w:sz w:val="24"/>
          <w:szCs w:val="24"/>
        </w:rPr>
        <w:t>）</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4"/>
          <w:szCs w:val="24"/>
        </w:rPr>
      </w:pPr>
      <w:r>
        <w:rPr>
          <w:rFonts w:hint="eastAsia" w:ascii="仿宋_GB2312" w:hAnsi="宋体" w:eastAsia="仿宋_GB2312"/>
          <w:sz w:val="24"/>
          <w:szCs w:val="24"/>
        </w:rPr>
        <w:br w:type="page"/>
      </w:r>
    </w:p>
    <w:p>
      <w:pPr>
        <w:pStyle w:val="35"/>
        <w:pageBreakBefore w:val="0"/>
        <w:widowControl w:val="0"/>
        <w:kinsoku/>
        <w:wordWrap/>
        <w:overflowPunct/>
        <w:topLinePunct w:val="0"/>
        <w:autoSpaceDE/>
        <w:autoSpaceDN/>
        <w:bidi w:val="0"/>
        <w:adjustRightInd/>
        <w:snapToGrid/>
        <w:spacing w:after="0" w:line="240" w:lineRule="auto"/>
        <w:textAlignment w:val="auto"/>
        <w:rPr>
          <w:rFonts w:hint="eastAsia"/>
        </w:rPr>
      </w:pPr>
      <w:bookmarkStart w:id="12" w:name="_Toc30008_WPSOffice_Level1"/>
      <w:r>
        <w:rPr>
          <w:rFonts w:hint="eastAsia"/>
          <w:lang w:eastAsia="zh-CN"/>
        </w:rPr>
        <w:t>第二章　</w:t>
      </w:r>
      <w:r>
        <w:rPr>
          <w:rFonts w:hint="eastAsia"/>
        </w:rPr>
        <w:t>采购要求</w:t>
      </w:r>
      <w:bookmarkEnd w:id="12"/>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sz w:val="24"/>
        </w:rPr>
      </w:pP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ascii="黑体" w:hAnsi="黑体" w:eastAsia="黑体"/>
          <w:b/>
          <w:sz w:val="24"/>
        </w:rPr>
      </w:pPr>
      <w:r>
        <w:rPr>
          <w:rFonts w:hint="eastAsia" w:ascii="黑体" w:hAnsi="黑体" w:eastAsia="黑体"/>
          <w:b/>
          <w:sz w:val="24"/>
        </w:rPr>
        <w:t>一、项目概述</w:t>
      </w:r>
    </w:p>
    <w:p>
      <w:pPr>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eastAsia="仿宋_GB2312"/>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6</w:t>
      </w:r>
      <w:r>
        <w:rPr>
          <w:rFonts w:hint="eastAsia" w:ascii="仿宋_GB2312" w:eastAsia="仿宋_GB2312"/>
          <w:color w:val="auto"/>
          <w:sz w:val="24"/>
        </w:rPr>
        <w:t>万元，最高限价</w:t>
      </w:r>
      <w:r>
        <w:rPr>
          <w:rFonts w:hint="eastAsia" w:ascii="仿宋_GB2312" w:eastAsia="仿宋_GB2312"/>
          <w:color w:val="auto"/>
          <w:sz w:val="24"/>
          <w:lang w:val="en-US" w:eastAsia="zh-CN"/>
        </w:rPr>
        <w:t>6</w:t>
      </w:r>
      <w:r>
        <w:rPr>
          <w:rFonts w:hint="eastAsia" w:ascii="仿宋_GB2312" w:eastAsia="仿宋_GB2312"/>
          <w:color w:val="auto"/>
          <w:sz w:val="24"/>
        </w:rPr>
        <w:t>万元</w:t>
      </w:r>
      <w:r>
        <w:rPr>
          <w:rFonts w:hint="eastAsia" w:ascii="仿宋_GB2312" w:eastAsia="仿宋_GB2312"/>
          <w:color w:val="auto"/>
          <w:sz w:val="24"/>
          <w:lang w:eastAsia="zh-CN"/>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2包采购预算资金：</w:t>
      </w:r>
      <w:r>
        <w:rPr>
          <w:rFonts w:hint="eastAsia" w:ascii="仿宋_GB2312" w:eastAsia="仿宋_GB2312"/>
          <w:color w:val="auto"/>
          <w:sz w:val="24"/>
          <w:lang w:val="en-US" w:eastAsia="zh-CN"/>
        </w:rPr>
        <w:t>15.7</w:t>
      </w:r>
      <w:r>
        <w:rPr>
          <w:rFonts w:hint="eastAsia" w:ascii="仿宋_GB2312" w:eastAsia="仿宋_GB2312"/>
          <w:color w:val="auto"/>
          <w:sz w:val="24"/>
        </w:rPr>
        <w:t>万元，最高限价</w:t>
      </w:r>
      <w:r>
        <w:rPr>
          <w:rFonts w:hint="eastAsia" w:ascii="仿宋_GB2312" w:eastAsia="仿宋_GB2312"/>
          <w:color w:val="auto"/>
          <w:sz w:val="24"/>
          <w:lang w:val="en-US" w:eastAsia="zh-CN"/>
        </w:rPr>
        <w:t>15.7</w:t>
      </w:r>
      <w:r>
        <w:rPr>
          <w:rFonts w:hint="eastAsia" w:ascii="仿宋_GB2312" w:eastAsia="仿宋_GB2312"/>
          <w:color w:val="auto"/>
          <w:sz w:val="24"/>
        </w:rPr>
        <w:t>万元</w:t>
      </w:r>
      <w:r>
        <w:rPr>
          <w:rFonts w:hint="eastAsia" w:ascii="仿宋_GB2312" w:eastAsia="仿宋_GB2312"/>
          <w:color w:val="auto"/>
          <w:sz w:val="24"/>
          <w:lang w:eastAsia="zh-CN"/>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color w:val="auto"/>
          <w:sz w:val="24"/>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7.68</w:t>
      </w:r>
      <w:r>
        <w:rPr>
          <w:rFonts w:hint="eastAsia" w:ascii="仿宋_GB2312" w:eastAsia="仿宋_GB2312"/>
          <w:color w:val="auto"/>
          <w:sz w:val="24"/>
        </w:rPr>
        <w:t>万元，最高限价</w:t>
      </w:r>
      <w:r>
        <w:rPr>
          <w:rFonts w:hint="eastAsia" w:ascii="仿宋_GB2312" w:eastAsia="仿宋_GB2312"/>
          <w:color w:val="auto"/>
          <w:sz w:val="24"/>
          <w:lang w:val="en-US" w:eastAsia="zh-CN"/>
        </w:rPr>
        <w:t>7.68</w:t>
      </w:r>
      <w:r>
        <w:rPr>
          <w:rFonts w:hint="eastAsia" w:ascii="仿宋_GB2312" w:eastAsia="仿宋_GB2312"/>
          <w:color w:val="auto"/>
          <w:sz w:val="24"/>
        </w:rPr>
        <w:t>万元</w:t>
      </w:r>
      <w:r>
        <w:rPr>
          <w:rFonts w:hint="eastAsia" w:ascii="仿宋_GB2312" w:eastAsia="仿宋_GB2312"/>
          <w:color w:val="auto"/>
          <w:sz w:val="24"/>
          <w:lang w:eastAsia="zh-CN"/>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7"/>
        <w:pageBreakBefore w:val="0"/>
        <w:widowControl w:val="0"/>
        <w:kinsoku/>
        <w:wordWrap/>
        <w:overflowPunct/>
        <w:topLinePunct w:val="0"/>
        <w:autoSpaceDE/>
        <w:autoSpaceDN/>
        <w:bidi w:val="0"/>
        <w:adjustRightInd/>
        <w:snapToGrid/>
        <w:spacing w:after="0" w:line="240" w:lineRule="auto"/>
        <w:ind w:firstLine="602" w:firstLineChars="250"/>
        <w:textAlignment w:val="auto"/>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219"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128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1283"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数量</w:t>
            </w:r>
          </w:p>
        </w:tc>
        <w:tc>
          <w:tcPr>
            <w:tcW w:w="1304"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w:t>
            </w:r>
            <w:r>
              <w:rPr>
                <w:rFonts w:hint="eastAsia" w:ascii="仿宋_GB2312" w:hAnsi="仿宋_GB2312" w:eastAsia="仿宋_GB2312" w:cs="仿宋_GB2312"/>
                <w:sz w:val="21"/>
                <w:szCs w:val="21"/>
                <w:lang w:eastAsia="zh-CN"/>
              </w:rPr>
              <w:t>万元</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pageBreakBefore w:val="0"/>
              <w:kinsoku/>
              <w:wordWrap/>
              <w:overflowPunct/>
              <w:topLinePunct w:val="0"/>
              <w:bidi w:val="0"/>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ageBreakBefore w:val="0"/>
              <w:kinsoku/>
              <w:wordWrap/>
              <w:overflowPunct/>
              <w:topLinePunct w:val="0"/>
              <w:bidi w:val="0"/>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设备</w:t>
            </w:r>
          </w:p>
        </w:tc>
        <w:tc>
          <w:tcPr>
            <w:tcW w:w="3730" w:type="dxa"/>
            <w:vAlign w:val="center"/>
          </w:tcPr>
          <w:p>
            <w:pPr>
              <w:pageBreakBefore w:val="0"/>
              <w:widowControl/>
              <w:kinsoku/>
              <w:wordWrap/>
              <w:overflowPunct/>
              <w:topLinePunct w:val="0"/>
              <w:bidi w:val="0"/>
              <w:spacing w:line="240" w:lineRule="auto"/>
              <w:ind w:left="0" w:leftChars="0"/>
              <w:rPr>
                <w:rFonts w:hint="eastAsia" w:ascii="仿宋_GB2312" w:hAnsi="仿宋" w:eastAsia="仿宋_GB2312"/>
                <w:szCs w:val="21"/>
                <w:lang w:val="en-US" w:eastAsia="zh-CN"/>
              </w:rPr>
            </w:pPr>
            <w:r>
              <w:rPr>
                <w:rFonts w:hint="eastAsia" w:ascii="仿宋_GB2312" w:eastAsia="仿宋_GB2312"/>
                <w:sz w:val="24"/>
                <w:szCs w:val="24"/>
              </w:rPr>
              <w:t>台式灭菌器</w:t>
            </w:r>
          </w:p>
        </w:tc>
        <w:tc>
          <w:tcPr>
            <w:tcW w:w="1283" w:type="dxa"/>
            <w:vAlign w:val="center"/>
          </w:tcPr>
          <w:p>
            <w:pPr>
              <w:pageBreakBefore w:val="0"/>
              <w:kinsoku/>
              <w:wordWrap/>
              <w:overflowPunct/>
              <w:topLinePunct w:val="0"/>
              <w:bidi w:val="0"/>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1台</w:t>
            </w:r>
          </w:p>
        </w:tc>
        <w:tc>
          <w:tcPr>
            <w:tcW w:w="1304" w:type="dxa"/>
            <w:vAlign w:val="center"/>
          </w:tcPr>
          <w:p>
            <w:pPr>
              <w:pStyle w:val="6"/>
              <w:pageBreakBefore w:val="0"/>
              <w:kinsoku/>
              <w:wordWrap/>
              <w:overflowPunct/>
              <w:topLinePunct w:val="0"/>
              <w:bidi w:val="0"/>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2包</w:t>
            </w:r>
          </w:p>
        </w:tc>
        <w:tc>
          <w:tcPr>
            <w:tcW w:w="554" w:type="dxa"/>
            <w:vAlign w:val="center"/>
          </w:tcPr>
          <w:p>
            <w:pPr>
              <w:pStyle w:val="6"/>
              <w:pageBreakBefore w:val="0"/>
              <w:kinsoku/>
              <w:wordWrap/>
              <w:overflowPunct/>
              <w:topLinePunct w:val="0"/>
              <w:bidi w:val="0"/>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ageBreakBefore w:val="0"/>
              <w:kinsoku/>
              <w:wordWrap/>
              <w:overflowPunct/>
              <w:topLinePunct w:val="0"/>
              <w:bidi w:val="0"/>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设备</w:t>
            </w:r>
          </w:p>
        </w:tc>
        <w:tc>
          <w:tcPr>
            <w:tcW w:w="3730" w:type="dxa"/>
            <w:vAlign w:val="center"/>
          </w:tcPr>
          <w:p>
            <w:pPr>
              <w:pageBreakBefore w:val="0"/>
              <w:widowControl/>
              <w:kinsoku/>
              <w:wordWrap/>
              <w:overflowPunct/>
              <w:topLinePunct w:val="0"/>
              <w:bidi w:val="0"/>
              <w:spacing w:line="240" w:lineRule="auto"/>
              <w:ind w:left="0" w:leftChars="0"/>
              <w:jc w:val="left"/>
              <w:rPr>
                <w:rFonts w:hint="eastAsia" w:ascii="仿宋_GB2312" w:hAnsi="仿宋" w:eastAsia="仿宋_GB2312"/>
                <w:szCs w:val="21"/>
                <w:lang w:val="en-US" w:eastAsia="zh-CN"/>
              </w:rPr>
            </w:pPr>
            <w:r>
              <w:rPr>
                <w:rFonts w:hint="eastAsia" w:ascii="仿宋" w:hAnsi="仿宋" w:eastAsia="仿宋" w:cs="宋体"/>
                <w:color w:val="000000"/>
                <w:kern w:val="0"/>
                <w:sz w:val="24"/>
                <w:szCs w:val="24"/>
              </w:rPr>
              <w:t>麻醉机内回路消毒机</w:t>
            </w:r>
          </w:p>
        </w:tc>
        <w:tc>
          <w:tcPr>
            <w:tcW w:w="1283" w:type="dxa"/>
            <w:vAlign w:val="center"/>
          </w:tcPr>
          <w:p>
            <w:pPr>
              <w:pageBreakBefore w:val="0"/>
              <w:kinsoku/>
              <w:wordWrap/>
              <w:overflowPunct/>
              <w:topLinePunct w:val="0"/>
              <w:bidi w:val="0"/>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2台</w:t>
            </w:r>
          </w:p>
        </w:tc>
        <w:tc>
          <w:tcPr>
            <w:tcW w:w="1304" w:type="dxa"/>
            <w:vAlign w:val="center"/>
          </w:tcPr>
          <w:p>
            <w:pPr>
              <w:pStyle w:val="6"/>
              <w:pageBreakBefore w:val="0"/>
              <w:kinsoku/>
              <w:wordWrap/>
              <w:overflowPunct/>
              <w:topLinePunct w:val="0"/>
              <w:bidi w:val="0"/>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3包</w:t>
            </w:r>
          </w:p>
        </w:tc>
        <w:tc>
          <w:tcPr>
            <w:tcW w:w="554" w:type="dxa"/>
            <w:vAlign w:val="center"/>
          </w:tcPr>
          <w:p>
            <w:pPr>
              <w:pStyle w:val="6"/>
              <w:pageBreakBefore w:val="0"/>
              <w:kinsoku/>
              <w:wordWrap/>
              <w:overflowPunct/>
              <w:topLinePunct w:val="0"/>
              <w:bidi w:val="0"/>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ageBreakBefore w:val="0"/>
              <w:kinsoku/>
              <w:wordWrap/>
              <w:overflowPunct/>
              <w:topLinePunct w:val="0"/>
              <w:bidi w:val="0"/>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设备</w:t>
            </w:r>
          </w:p>
        </w:tc>
        <w:tc>
          <w:tcPr>
            <w:tcW w:w="3730" w:type="dxa"/>
            <w:vAlign w:val="center"/>
          </w:tcPr>
          <w:p>
            <w:pPr>
              <w:pageBreakBefore w:val="0"/>
              <w:widowControl/>
              <w:kinsoku/>
              <w:wordWrap/>
              <w:overflowPunct/>
              <w:topLinePunct w:val="0"/>
              <w:bidi w:val="0"/>
              <w:spacing w:line="240" w:lineRule="auto"/>
              <w:ind w:left="0" w:leftChars="0"/>
              <w:jc w:val="left"/>
              <w:rPr>
                <w:rFonts w:hint="eastAsia" w:ascii="仿宋_GB2312" w:hAnsi="仿宋" w:eastAsia="仿宋_GB2312"/>
                <w:szCs w:val="21"/>
                <w:lang w:val="en-US" w:eastAsia="zh-CN"/>
              </w:rPr>
            </w:pPr>
            <w:r>
              <w:rPr>
                <w:rFonts w:hint="eastAsia" w:ascii="仿宋" w:hAnsi="仿宋" w:eastAsia="仿宋" w:cs="宋体"/>
                <w:color w:val="000000"/>
                <w:kern w:val="0"/>
                <w:sz w:val="24"/>
                <w:szCs w:val="24"/>
                <w:lang w:val="en-US" w:eastAsia="zh-CN"/>
              </w:rPr>
              <w:t>床单元消毒机</w:t>
            </w:r>
          </w:p>
        </w:tc>
        <w:tc>
          <w:tcPr>
            <w:tcW w:w="1283" w:type="dxa"/>
            <w:vAlign w:val="center"/>
          </w:tcPr>
          <w:p>
            <w:pPr>
              <w:pageBreakBefore w:val="0"/>
              <w:kinsoku/>
              <w:wordWrap/>
              <w:overflowPunct/>
              <w:topLinePunct w:val="0"/>
              <w:bidi w:val="0"/>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8台</w:t>
            </w:r>
          </w:p>
        </w:tc>
        <w:tc>
          <w:tcPr>
            <w:tcW w:w="1304" w:type="dxa"/>
            <w:vAlign w:val="center"/>
          </w:tcPr>
          <w:p>
            <w:pPr>
              <w:pStyle w:val="6"/>
              <w:pageBreakBefore w:val="0"/>
              <w:kinsoku/>
              <w:wordWrap/>
              <w:overflowPunct/>
              <w:topLinePunct w:val="0"/>
              <w:bidi w:val="0"/>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219" w:type="dxa"/>
            <w:gridSpan w:val="6"/>
            <w:vAlign w:val="center"/>
          </w:tcPr>
          <w:p>
            <w:pPr>
              <w:pStyle w:val="27"/>
              <w:pageBreakBefore w:val="0"/>
              <w:kinsoku/>
              <w:wordWrap/>
              <w:overflowPunct/>
              <w:topLinePunct w:val="0"/>
              <w:bidi w:val="0"/>
              <w:spacing w:line="240" w:lineRule="auto"/>
              <w:ind w:left="0" w:leftChars="0" w:firstLine="0" w:firstLineChars="0"/>
              <w:rPr>
                <w:rFonts w:hint="eastAsia" w:ascii="仿宋_GB2312" w:hAnsi="仿宋" w:eastAsia="仿宋_GB2312"/>
                <w:color w:val="auto"/>
                <w:szCs w:val="21"/>
                <w:lang w:val="en-US" w:eastAsia="zh-CN"/>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r>
              <w:rPr>
                <w:rFonts w:hint="eastAsia" w:ascii="仿宋_GB2312" w:hAnsi="仿宋_GB2312" w:eastAsia="仿宋_GB2312" w:cs="仿宋_GB2312"/>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二、商务要求</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★1．交货期及地点</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交货期：合同签订之日起</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天内。</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交货地点:资阳市第一人民医院</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★2．付款方法和条件：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所有货物在采购人使用现场交付清点无误，安装、调试完毕、资料交接完毕，经验收合格后7个工作日内，付设备金额的30%，自设备安装正常运行半年后7个工作日内付合同总金额的65% ，质保期内设备正常运行满1年后7个工作日内付5%，付清余款。</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3.</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质保期：</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整机设备质保期为2年；</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质保期内</w:t>
      </w:r>
      <w:r>
        <w:rPr>
          <w:rFonts w:hint="eastAsia" w:ascii="仿宋_GB2312" w:hAnsi="仿宋_GB2312" w:eastAsia="仿宋_GB2312" w:cs="仿宋_GB2312"/>
          <w:spacing w:val="-4"/>
          <w:sz w:val="24"/>
          <w:szCs w:val="24"/>
        </w:rPr>
        <w:t>供应商</w:t>
      </w:r>
      <w:r>
        <w:rPr>
          <w:rFonts w:hint="eastAsia" w:ascii="仿宋_GB2312" w:hAnsi="仿宋_GB2312" w:eastAsia="仿宋_GB2312" w:cs="仿宋_GB2312"/>
          <w:sz w:val="24"/>
          <w:szCs w:val="24"/>
        </w:rPr>
        <w:t>应负责设备保养、维修及相关的零配件；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供应商保证年开机率大于95％（365天/年计算），若≤95％则相应延长保修期。</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4. 交货时应提供以下技术资料（设备）（如涉及）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原产地证明书(由制造厂签发)；</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提供主机及配套设备的安装图纸及说明；</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提供主机及配套设备使用说明书、维护手册；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备件手册、零件及易损件的图纸及相关资料；</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其它相关技术资料。</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产品说明书及医疗设备的标牌上标注有生产日期、使用期限。</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提供设备更换零配件维修价格表。</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5.</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安装、调试、培训及验收：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安装调试：供应商负责设备安装、调试，货物到达生产现场后，供应商接到采购人通知后7日内到达现场组织安装、调试，达到正常运行要求，保证采购人正常使用，所需的费用包括在投标总价格中。</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培训：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验收：验收标准以招投标文件技术参数及要求和相关行业标准为准。</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6.</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其他：</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其他商务要求请参照《采购合同》执行。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供应商为非产品制造商承诺：交货时提供所投产品制造商针对本项目的授权书（提供承诺函）。</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供货时供应商向采购人提供资料：医疗器械需提供《医疗器械注册证》复印件、《使用说明书》、其他相关资料（具体要求见技术、服务要求）。消毒产品提供权威的检测机构出具的《检测报告》复印件。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注：各品目质保期及售后服务要求与上述内容不一致的，以各品目为准。</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rPr>
      </w:pPr>
      <w:r>
        <w:rPr>
          <w:rFonts w:hint="eastAsia" w:ascii="黑体" w:hAnsi="黑体" w:eastAsia="黑体" w:cs="黑体"/>
          <w:sz w:val="24"/>
          <w:szCs w:val="24"/>
        </w:rPr>
        <w:t>三、售后服务</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零配件:送达期限在设备的使用寿命期内，卖方应保证国内不超过7天，国外不超过21天。投标人提供终身零配件供应，应保证设备停产后的备件供应保证10年，并以优惠的价格提供该设备所需的维修零配件。质保期后，卖方应向用户提供及时的、优质的、价格优惠的技术服务和零配件供应；</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卖方在国内应有24小时电话维修系统，并列出工程师名单、联系电话、通讯地址及备件库地址和备件的详细目录；</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质保期内仪器出现问题，接到故障报修后1小时内做出响应，如电话指导不能处理，24小时内派专人到场维修，维修期间提供备用设备。</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四、</w:t>
      </w:r>
      <w:r>
        <w:rPr>
          <w:rFonts w:hint="eastAsia" w:ascii="黑体" w:hAnsi="黑体" w:eastAsia="黑体" w:cs="黑体"/>
          <w:sz w:val="24"/>
          <w:szCs w:val="24"/>
          <w:lang w:eastAsia="zh-CN"/>
        </w:rPr>
        <w:t>产品要求</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 xml:space="preserve">1. </w:t>
      </w:r>
      <w:r>
        <w:rPr>
          <w:rFonts w:hint="eastAsia" w:ascii="仿宋_GB2312" w:hAnsi="仿宋_GB2312" w:eastAsia="仿宋_GB2312" w:cs="仿宋_GB2312"/>
          <w:b/>
          <w:sz w:val="24"/>
          <w:szCs w:val="24"/>
          <w:lang w:eastAsia="zh-CN"/>
        </w:rPr>
        <w:t>包号</w:t>
      </w:r>
      <w:r>
        <w:rPr>
          <w:rFonts w:hint="eastAsia" w:ascii="仿宋_GB2312" w:hAnsi="仿宋_GB2312" w:eastAsia="仿宋_GB2312" w:cs="仿宋_GB2312"/>
          <w:b/>
          <w:sz w:val="24"/>
          <w:szCs w:val="24"/>
          <w:lang w:val="en-US" w:eastAsia="zh-CN"/>
        </w:rPr>
        <w:t>1　</w:t>
      </w:r>
      <w:r>
        <w:rPr>
          <w:rFonts w:hint="eastAsia" w:ascii="仿宋_GB2312" w:hAnsi="仿宋_GB2312" w:eastAsia="仿宋_GB2312" w:cs="仿宋_GB2312"/>
          <w:b/>
          <w:sz w:val="24"/>
          <w:szCs w:val="24"/>
          <w:lang w:eastAsia="zh-CN"/>
        </w:rPr>
        <w:t xml:space="preserve">台式灭菌器 </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 灭菌内室容积：≥80升。</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1.2 </w:t>
      </w:r>
      <w:r>
        <w:rPr>
          <w:rFonts w:hint="eastAsia" w:ascii="仿宋_GB2312" w:hAnsi="仿宋_GB2312" w:eastAsia="仿宋_GB2312" w:cs="仿宋_GB2312"/>
          <w:sz w:val="24"/>
          <w:szCs w:val="24"/>
        </w:rPr>
        <w:t>以压力蒸汽为介质的台式全自动高温高压快速灭菌设备</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1.3 </w:t>
      </w:r>
      <w:r>
        <w:rPr>
          <w:rFonts w:hint="eastAsia" w:ascii="仿宋_GB2312" w:hAnsi="仿宋_GB2312" w:eastAsia="仿宋_GB2312" w:cs="仿宋_GB2312"/>
          <w:sz w:val="24"/>
          <w:szCs w:val="24"/>
        </w:rPr>
        <w:t>采用高效的抽真空系统，工作噪音低，极限真空可达-90KPa以上，抽空速度快，物品干燥度好，灭菌更彻底。</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1.4 </w:t>
      </w:r>
      <w:r>
        <w:rPr>
          <w:rFonts w:hint="eastAsia" w:ascii="仿宋_GB2312" w:hAnsi="仿宋_GB2312" w:eastAsia="仿宋_GB2312" w:cs="仿宋_GB2312"/>
          <w:sz w:val="24"/>
          <w:szCs w:val="24"/>
        </w:rPr>
        <w:t>内置敞开式水箱，便于水箱清洗，水箱一次注满水后可多次运行程序，配置水质监测模块，保证蒸汽质量的可靠性，同时保证设备的正常运行。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1.5 </w:t>
      </w:r>
      <w:r>
        <w:rPr>
          <w:rFonts w:hint="eastAsia" w:ascii="仿宋_GB2312" w:hAnsi="仿宋_GB2312" w:eastAsia="仿宋_GB2312" w:cs="仿宋_GB2312"/>
          <w:sz w:val="24"/>
          <w:szCs w:val="24"/>
        </w:rPr>
        <w:t>液晶屏可显示温度、压力、时间、运行状态、故障报警等信息，灭菌信息更加直观，便于用户观察设备运行状态。</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1.6 </w:t>
      </w:r>
      <w:r>
        <w:rPr>
          <w:rFonts w:hint="eastAsia" w:ascii="仿宋_GB2312" w:hAnsi="仿宋_GB2312" w:eastAsia="仿宋_GB2312" w:cs="仿宋_GB2312"/>
          <w:sz w:val="24"/>
          <w:szCs w:val="24"/>
        </w:rPr>
        <w:t>设有裸露程序、包装程序、橡胶程序、自定义程序、快速程序等灭菌程序和</w:t>
      </w:r>
      <w:r>
        <w:rPr>
          <w:rFonts w:hint="eastAsia" w:ascii="仿宋_GB2312" w:hAnsi="仿宋_GB2312" w:eastAsia="仿宋_GB2312" w:cs="仿宋_GB2312"/>
          <w:sz w:val="24"/>
          <w:szCs w:val="24"/>
          <w:lang w:val="en-US" w:eastAsia="zh-CN"/>
        </w:rPr>
        <w:t>BD</w:t>
      </w:r>
      <w:r>
        <w:rPr>
          <w:rFonts w:hint="eastAsia" w:ascii="仿宋_GB2312" w:hAnsi="仿宋_GB2312" w:eastAsia="仿宋_GB2312" w:cs="仿宋_GB2312"/>
          <w:sz w:val="24"/>
          <w:szCs w:val="24"/>
        </w:rPr>
        <w:t>测试、真空测试程序以及预热、干燥辅助类程序。</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1.7 </w:t>
      </w:r>
      <w:r>
        <w:rPr>
          <w:rFonts w:hint="eastAsia" w:ascii="仿宋_GB2312" w:hAnsi="仿宋_GB2312" w:eastAsia="仿宋_GB2312" w:cs="仿宋_GB2312"/>
          <w:sz w:val="24"/>
          <w:szCs w:val="24"/>
        </w:rPr>
        <w:t>注水、脉动真空、升温、灭菌、排汽、真空干燥全过程自动运行。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1.8 </w:t>
      </w:r>
      <w:r>
        <w:rPr>
          <w:rFonts w:hint="eastAsia" w:ascii="仿宋_GB2312" w:hAnsi="仿宋_GB2312" w:eastAsia="仿宋_GB2312" w:cs="仿宋_GB2312"/>
          <w:sz w:val="24"/>
          <w:szCs w:val="24"/>
        </w:rPr>
        <w:t>强力真空干燥系统，器械干燥后残余湿度不超过0.2％，敷料干燥后残余湿度不超过1％。</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1.9 </w:t>
      </w:r>
      <w:r>
        <w:rPr>
          <w:rFonts w:hint="eastAsia" w:ascii="仿宋_GB2312" w:hAnsi="仿宋_GB2312" w:eastAsia="仿宋_GB2312" w:cs="仿宋_GB2312"/>
          <w:sz w:val="24"/>
          <w:szCs w:val="24"/>
        </w:rPr>
        <w:t>0.22μm除菌高效空气过滤器，保证破除真空的空气为无菌空气，避免无菌物品再次污染。</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1.10 </w:t>
      </w:r>
      <w:r>
        <w:rPr>
          <w:rFonts w:hint="eastAsia" w:ascii="仿宋_GB2312" w:hAnsi="仿宋_GB2312" w:eastAsia="仿宋_GB2312" w:cs="仿宋_GB2312"/>
          <w:sz w:val="24"/>
          <w:szCs w:val="24"/>
        </w:rPr>
        <w:t>灭菌器内置即时蒸汽发生器，内置打印机。</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1.11 </w:t>
      </w:r>
      <w:r>
        <w:rPr>
          <w:rFonts w:hint="eastAsia" w:ascii="仿宋_GB2312" w:hAnsi="仿宋_GB2312" w:eastAsia="仿宋_GB2312" w:cs="仿宋_GB2312"/>
          <w:sz w:val="24"/>
          <w:szCs w:val="24"/>
        </w:rPr>
        <w:t>灭菌器采用自动门结构，操作快捷方便，有效对人体进行可靠的保护，防止烫伤。</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1.13 </w:t>
      </w:r>
      <w:r>
        <w:rPr>
          <w:rFonts w:hint="eastAsia" w:ascii="仿宋_GB2312" w:hAnsi="仿宋_GB2312" w:eastAsia="仿宋_GB2312" w:cs="仿宋_GB2312"/>
          <w:sz w:val="24"/>
          <w:szCs w:val="24"/>
        </w:rPr>
        <w:t>超温自动保护装置：锅体温度超过设定温度，系统自动切断加热电源，并显示报警。</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1.14 </w:t>
      </w:r>
      <w:r>
        <w:rPr>
          <w:rFonts w:hint="eastAsia" w:ascii="仿宋_GB2312" w:hAnsi="仿宋_GB2312" w:eastAsia="仿宋_GB2312" w:cs="仿宋_GB2312"/>
          <w:sz w:val="24"/>
          <w:szCs w:val="24"/>
        </w:rPr>
        <w:t>门安全联锁装置：采用电子门锁，只有门关闭到位，灭菌器才能接通进汽升压，程序才能启动；内室有压力或电源未接通，开门机构被锁住，门无法打开。</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1.15</w:t>
      </w:r>
      <w:r>
        <w:rPr>
          <w:rFonts w:hint="eastAsia" w:ascii="仿宋_GB2312" w:hAnsi="仿宋_GB2312" w:eastAsia="仿宋_GB2312" w:cs="仿宋_GB2312"/>
          <w:sz w:val="24"/>
          <w:szCs w:val="24"/>
        </w:rPr>
        <w:t>为保证安全生产厂家获得ASME认证</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_GB2312" w:hAnsi="仿宋_GB2312" w:eastAsia="仿宋_GB2312" w:cs="仿宋_GB2312"/>
          <w:b/>
          <w:sz w:val="24"/>
          <w:szCs w:val="24"/>
          <w:lang w:val="zh-CN" w:eastAsia="zh-CN"/>
        </w:rPr>
      </w:pPr>
      <w:r>
        <w:rPr>
          <w:rFonts w:hint="eastAsia" w:ascii="仿宋_GB2312" w:hAnsi="仿宋_GB2312" w:eastAsia="仿宋_GB2312" w:cs="仿宋_GB2312"/>
          <w:b/>
          <w:sz w:val="24"/>
          <w:szCs w:val="24"/>
          <w:lang w:val="en-US" w:eastAsia="zh-CN"/>
        </w:rPr>
        <w:t>2. 包号2　</w:t>
      </w:r>
      <w:r>
        <w:rPr>
          <w:rFonts w:hint="eastAsia" w:ascii="仿宋_GB2312" w:hAnsi="仿宋_GB2312" w:eastAsia="仿宋_GB2312" w:cs="仿宋_GB2312"/>
          <w:b/>
          <w:sz w:val="24"/>
          <w:szCs w:val="24"/>
          <w:lang w:val="zh-CN" w:eastAsia="zh-CN"/>
        </w:rPr>
        <w:t>麻醉机内部回路消毒机</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2.1 </w:t>
      </w:r>
      <w:r>
        <w:rPr>
          <w:rFonts w:hint="eastAsia" w:ascii="仿宋_GB2312" w:hAnsi="仿宋_GB2312" w:eastAsia="仿宋_GB2312" w:cs="仿宋_GB2312"/>
          <w:sz w:val="24"/>
          <w:szCs w:val="24"/>
          <w:lang w:val="zh-CN"/>
        </w:rPr>
        <w:t>中文超大液晶触摸屏≥10.4寸，操作简单方便，消毒过程全自动完成，一键设定。</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 </w:t>
      </w:r>
      <w:r>
        <w:rPr>
          <w:rFonts w:hint="eastAsia" w:ascii="仿宋_GB2312" w:hAnsi="仿宋_GB2312" w:eastAsia="仿宋_GB2312" w:cs="仿宋_GB2312"/>
          <w:sz w:val="24"/>
          <w:szCs w:val="24"/>
          <w:lang w:val="zh-CN"/>
        </w:rPr>
        <w:t>消毒机理：臭氧和过氧化氢，可两者同时使用，也可单独使用。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2.3 </w:t>
      </w:r>
      <w:r>
        <w:rPr>
          <w:rFonts w:hint="eastAsia" w:ascii="仿宋_GB2312" w:hAnsi="仿宋_GB2312" w:eastAsia="仿宋_GB2312" w:cs="仿宋_GB2312"/>
          <w:sz w:val="24"/>
          <w:szCs w:val="24"/>
          <w:lang w:val="zh-CN"/>
        </w:rPr>
        <w:t>电磁控制气雾分离双重消毒，效果更迅速彻底。</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2.4 </w:t>
      </w:r>
      <w:r>
        <w:rPr>
          <w:rFonts w:hint="eastAsia" w:ascii="仿宋_GB2312" w:hAnsi="仿宋_GB2312" w:eastAsia="仿宋_GB2312" w:cs="仿宋_GB2312"/>
          <w:sz w:val="24"/>
          <w:szCs w:val="24"/>
          <w:lang w:val="zh-CN"/>
        </w:rPr>
        <w:t>消毒作用：用于麻醉机的内部管路及呼吸机的管路消毒。</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2.5 </w:t>
      </w:r>
      <w:r>
        <w:rPr>
          <w:rFonts w:hint="eastAsia" w:ascii="仿宋_GB2312" w:hAnsi="仿宋_GB2312" w:eastAsia="仿宋_GB2312" w:cs="仿宋_GB2312"/>
          <w:sz w:val="24"/>
          <w:szCs w:val="24"/>
          <w:lang w:val="zh-CN"/>
        </w:rPr>
        <w:t>消毒级别：能杀灭芽孢、枯草杆菌黑色变种芽孢，灭菌对数值≥3.0，符合卫生部对消毒设备消毒要求（提供监测报告）。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2.6 </w:t>
      </w:r>
      <w:r>
        <w:rPr>
          <w:rFonts w:hint="eastAsia" w:ascii="仿宋_GB2312" w:hAnsi="仿宋_GB2312" w:eastAsia="仿宋_GB2312" w:cs="仿宋_GB2312"/>
          <w:sz w:val="24"/>
          <w:szCs w:val="24"/>
          <w:lang w:val="zh-CN"/>
        </w:rPr>
        <w:t>臭氧浓度：≥600mg/m</w:t>
      </w:r>
      <w:r>
        <w:rPr>
          <w:rFonts w:hint="eastAsia" w:ascii="仿宋_GB2312" w:hAnsi="仿宋_GB2312" w:eastAsia="仿宋_GB2312" w:cs="仿宋_GB2312"/>
          <w:sz w:val="24"/>
          <w:szCs w:val="24"/>
          <w:vertAlign w:val="superscript"/>
          <w:lang w:val="zh-CN"/>
        </w:rPr>
        <w:t>3</w:t>
      </w:r>
      <w:r>
        <w:rPr>
          <w:rFonts w:hint="eastAsia" w:ascii="仿宋_GB2312" w:hAnsi="仿宋_GB2312" w:eastAsia="仿宋_GB2312" w:cs="仿宋_GB2312"/>
          <w:sz w:val="24"/>
          <w:szCs w:val="24"/>
          <w:lang w:val="zh-CN"/>
        </w:rPr>
        <w:t>，确保消毒准确有效。</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2.7 </w:t>
      </w:r>
      <w:r>
        <w:rPr>
          <w:rFonts w:hint="eastAsia" w:ascii="仿宋_GB2312" w:hAnsi="仿宋_GB2312" w:eastAsia="仿宋_GB2312" w:cs="仿宋_GB2312"/>
          <w:sz w:val="24"/>
          <w:szCs w:val="24"/>
          <w:lang w:val="zh-CN"/>
        </w:rPr>
        <w:t>过氧化氢溶液浓度：12%。</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2.8 </w:t>
      </w:r>
      <w:r>
        <w:rPr>
          <w:rFonts w:hint="eastAsia" w:ascii="仿宋_GB2312" w:hAnsi="仿宋_GB2312" w:eastAsia="仿宋_GB2312" w:cs="仿宋_GB2312"/>
          <w:sz w:val="24"/>
          <w:szCs w:val="24"/>
          <w:lang w:val="zh-CN"/>
        </w:rPr>
        <w:t>消毒机在消毒过程中可调整呼吸机潮气量。</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2.9 </w:t>
      </w:r>
      <w:r>
        <w:rPr>
          <w:rFonts w:hint="eastAsia" w:ascii="仿宋_GB2312" w:hAnsi="仿宋_GB2312" w:eastAsia="仿宋_GB2312" w:cs="仿宋_GB2312"/>
          <w:sz w:val="24"/>
          <w:szCs w:val="24"/>
          <w:lang w:val="zh-CN"/>
        </w:rPr>
        <w:t>消毒时间可选预先设定时间，也可自己设定时间，操作方便灵活。</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2.10 </w:t>
      </w:r>
      <w:r>
        <w:rPr>
          <w:rFonts w:hint="eastAsia" w:ascii="仿宋_GB2312" w:hAnsi="仿宋_GB2312" w:eastAsia="仿宋_GB2312" w:cs="仿宋_GB2312"/>
          <w:sz w:val="24"/>
          <w:szCs w:val="24"/>
          <w:lang w:val="zh-CN"/>
        </w:rPr>
        <w:t>报警功能：工作过程中能够在有臭氧泄漏或温度过高的情况下工作界面中文报警。</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2.11 </w:t>
      </w:r>
      <w:r>
        <w:rPr>
          <w:rFonts w:hint="eastAsia" w:ascii="仿宋_GB2312" w:hAnsi="仿宋_GB2312" w:eastAsia="仿宋_GB2312" w:cs="仿宋_GB2312"/>
          <w:sz w:val="24"/>
          <w:szCs w:val="24"/>
          <w:lang w:val="zh-CN"/>
        </w:rPr>
        <w:t>消毒循环输气口输出气量：≥8L/min。</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2.12 </w:t>
      </w:r>
      <w:r>
        <w:rPr>
          <w:rFonts w:hint="eastAsia" w:ascii="仿宋_GB2312" w:hAnsi="仿宋_GB2312" w:eastAsia="仿宋_GB2312" w:cs="仿宋_GB2312"/>
          <w:sz w:val="24"/>
          <w:szCs w:val="24"/>
          <w:lang w:val="zh-CN"/>
        </w:rPr>
        <w:t>消毒循环抽气口抽气气量：≥5L/min。</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2.13 </w:t>
      </w:r>
      <w:r>
        <w:rPr>
          <w:rFonts w:hint="eastAsia" w:ascii="仿宋_GB2312" w:hAnsi="仿宋_GB2312" w:eastAsia="仿宋_GB2312" w:cs="仿宋_GB2312"/>
          <w:sz w:val="24"/>
          <w:szCs w:val="24"/>
          <w:lang w:val="zh-CN"/>
        </w:rPr>
        <w:t>消毒过程中内回路外环境：臭氧浓度低于国家标准，可人机共存，确保了在使用时手术室无污染，无需单独操作空间，无消毒场所面积大小要求。</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2.14 </w:t>
      </w:r>
      <w:r>
        <w:rPr>
          <w:rFonts w:hint="eastAsia" w:ascii="仿宋_GB2312" w:hAnsi="仿宋_GB2312" w:eastAsia="仿宋_GB2312" w:cs="仿宋_GB2312"/>
          <w:sz w:val="24"/>
          <w:szCs w:val="24"/>
          <w:lang w:val="zh-CN"/>
        </w:rPr>
        <w:t>安全的结构设计</w:t>
      </w:r>
      <w:r>
        <w:rPr>
          <w:rFonts w:hint="eastAsia" w:ascii="仿宋_GB2312" w:hAnsi="仿宋_GB2312" w:eastAsia="仿宋_GB2312" w:cs="仿宋_GB2312"/>
          <w:sz w:val="24"/>
          <w:szCs w:val="24"/>
        </w:rPr>
        <w:t>,臭氧检测报警</w:t>
      </w:r>
      <w:r>
        <w:rPr>
          <w:rFonts w:hint="eastAsia" w:ascii="仿宋_GB2312" w:hAnsi="仿宋_GB2312" w:eastAsia="仿宋_GB2312" w:cs="仿宋_GB2312"/>
          <w:sz w:val="24"/>
          <w:szCs w:val="24"/>
          <w:lang w:val="zh-CN"/>
        </w:rPr>
        <w:t>和温度预警装置使消毒安全可靠。</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2.15 </w:t>
      </w:r>
      <w:r>
        <w:rPr>
          <w:rFonts w:hint="eastAsia" w:ascii="仿宋_GB2312" w:hAnsi="仿宋_GB2312" w:eastAsia="仿宋_GB2312" w:cs="仿宋_GB2312"/>
          <w:sz w:val="24"/>
          <w:szCs w:val="24"/>
          <w:lang w:val="zh-CN"/>
        </w:rPr>
        <w:t>具有干燥功能，能在消毒完成后更方便存储。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2.16 </w:t>
      </w:r>
      <w:r>
        <w:rPr>
          <w:rFonts w:hint="eastAsia" w:ascii="仿宋_GB2312" w:hAnsi="仿宋_GB2312" w:eastAsia="仿宋_GB2312" w:cs="仿宋_GB2312"/>
          <w:sz w:val="24"/>
          <w:szCs w:val="24"/>
          <w:lang w:val="zh-CN"/>
        </w:rPr>
        <w:t>具有增湿功能，在干燥地区和季节也可使用。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2.17 </w:t>
      </w:r>
      <w:r>
        <w:rPr>
          <w:rFonts w:hint="eastAsia" w:ascii="仿宋_GB2312" w:hAnsi="仿宋_GB2312" w:eastAsia="仿宋_GB2312" w:cs="仿宋_GB2312"/>
          <w:sz w:val="24"/>
          <w:szCs w:val="24"/>
          <w:lang w:val="zh-CN"/>
        </w:rPr>
        <w:t>环境湿度：5℃～40℃，相对湿度：≤80%。</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2.18 </w:t>
      </w:r>
      <w:r>
        <w:rPr>
          <w:rFonts w:hint="eastAsia" w:ascii="仿宋_GB2312" w:hAnsi="仿宋_GB2312" w:eastAsia="仿宋_GB2312" w:cs="仿宋_GB2312"/>
          <w:sz w:val="24"/>
          <w:szCs w:val="24"/>
          <w:lang w:val="zh-CN"/>
        </w:rPr>
        <w:t>臭氧发生器使用寿命：≥10000h。</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2.19 </w:t>
      </w:r>
      <w:r>
        <w:rPr>
          <w:rFonts w:hint="eastAsia" w:ascii="仿宋_GB2312" w:hAnsi="仿宋_GB2312" w:eastAsia="仿宋_GB2312" w:cs="仿宋_GB2312"/>
          <w:sz w:val="24"/>
          <w:szCs w:val="24"/>
          <w:lang w:val="zh-CN"/>
        </w:rPr>
        <w:t>打印消毒记录：消毒结束后，可打印消毒记录，方便使用方便查验。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2.20 </w:t>
      </w:r>
      <w:r>
        <w:rPr>
          <w:rFonts w:hint="eastAsia" w:ascii="仿宋_GB2312" w:hAnsi="仿宋_GB2312" w:eastAsia="仿宋_GB2312" w:cs="仿宋_GB2312"/>
          <w:sz w:val="24"/>
          <w:szCs w:val="24"/>
          <w:lang w:val="zh-CN"/>
        </w:rPr>
        <w:t>消毒机内部设备均由耐腐蚀材料构成，有效延长消毒机使用寿命。</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2.21 </w:t>
      </w:r>
      <w:r>
        <w:rPr>
          <w:rFonts w:hint="eastAsia" w:ascii="仿宋_GB2312" w:hAnsi="仿宋_GB2312" w:eastAsia="仿宋_GB2312" w:cs="仿宋_GB2312"/>
          <w:sz w:val="24"/>
          <w:szCs w:val="24"/>
          <w:lang w:val="zh-CN"/>
        </w:rPr>
        <w:t>采用先进的氟胶密封工艺，气体无泄漏，延长使用寿命。</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2.22 </w:t>
      </w:r>
      <w:r>
        <w:rPr>
          <w:rFonts w:hint="eastAsia" w:ascii="仿宋_GB2312" w:hAnsi="仿宋_GB2312" w:eastAsia="仿宋_GB2312" w:cs="仿宋_GB2312"/>
          <w:sz w:val="24"/>
          <w:szCs w:val="24"/>
          <w:lang w:val="zh-CN"/>
        </w:rPr>
        <w:t>独特的活性炭二次吸附的使用，使消毒后残余气体排放完全达到国家规定的排放标准，无残留，不危害人体，不污染环境，消毒更安全。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2.22 </w:t>
      </w:r>
      <w:r>
        <w:rPr>
          <w:rFonts w:hint="eastAsia" w:ascii="仿宋_GB2312" w:hAnsi="仿宋_GB2312" w:eastAsia="仿宋_GB2312" w:cs="仿宋_GB2312"/>
          <w:sz w:val="24"/>
          <w:szCs w:val="24"/>
          <w:lang w:val="zh-CN"/>
        </w:rPr>
        <w:t>具有剩余臭氧和过氧化氢解析功能，残留量≤0.16mg/m³。</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2.24 </w:t>
      </w:r>
      <w:r>
        <w:rPr>
          <w:rFonts w:hint="eastAsia" w:ascii="仿宋_GB2312" w:hAnsi="仿宋_GB2312" w:eastAsia="仿宋_GB2312" w:cs="仿宋_GB2312"/>
          <w:sz w:val="24"/>
          <w:szCs w:val="24"/>
          <w:lang w:val="zh-CN"/>
        </w:rPr>
        <w:t>噪音：≤55dB。</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2.25 </w:t>
      </w:r>
      <w:r>
        <w:rPr>
          <w:rFonts w:hint="eastAsia" w:ascii="仿宋_GB2312" w:hAnsi="仿宋_GB2312" w:eastAsia="仿宋_GB2312" w:cs="仿宋_GB2312"/>
          <w:sz w:val="24"/>
          <w:szCs w:val="24"/>
          <w:lang w:val="zh-CN"/>
        </w:rPr>
        <w:t>消毒时间选择：30min、60min、75min、90 min、100 min、120 min。</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2.26 </w:t>
      </w:r>
      <w:r>
        <w:rPr>
          <w:rFonts w:hint="eastAsia" w:ascii="仿宋_GB2312" w:hAnsi="仿宋_GB2312" w:eastAsia="仿宋_GB2312" w:cs="仿宋_GB2312"/>
          <w:sz w:val="24"/>
          <w:szCs w:val="24"/>
          <w:lang w:val="zh-CN"/>
        </w:rPr>
        <w:t>雾化器：雾化量为3ml/30min～6ml/30 min。</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2.27 </w:t>
      </w:r>
      <w:r>
        <w:rPr>
          <w:rFonts w:hint="eastAsia" w:ascii="仿宋_GB2312" w:hAnsi="仿宋_GB2312" w:eastAsia="仿宋_GB2312" w:cs="仿宋_GB2312"/>
          <w:sz w:val="24"/>
          <w:szCs w:val="24"/>
          <w:lang w:val="zh-CN"/>
        </w:rPr>
        <w:t xml:space="preserve">大气压力：700hPa～1060hPa。   </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 xml:space="preserve">2.28 </w:t>
      </w:r>
      <w:r>
        <w:rPr>
          <w:rFonts w:hint="eastAsia" w:ascii="仿宋_GB2312" w:hAnsi="仿宋_GB2312" w:eastAsia="仿宋_GB2312" w:cs="仿宋_GB2312"/>
          <w:sz w:val="24"/>
          <w:szCs w:val="24"/>
          <w:lang w:val="zh-CN"/>
        </w:rPr>
        <w:t>电源：AC220V±22V，频率:50Hz±1Hz</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rPr>
        <w:t>输入功率：100W。</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 w:hAnsi="仿宋" w:eastAsia="仿宋"/>
          <w:b/>
          <w:sz w:val="24"/>
        </w:rPr>
      </w:pPr>
      <w:r>
        <w:rPr>
          <w:rFonts w:hint="eastAsia" w:ascii="仿宋_GB2312" w:hAnsi="仿宋_GB2312" w:eastAsia="仿宋_GB2312" w:cs="仿宋_GB2312"/>
          <w:b/>
          <w:sz w:val="24"/>
          <w:szCs w:val="24"/>
          <w:lang w:val="en-US" w:eastAsia="zh-CN"/>
        </w:rPr>
        <w:t xml:space="preserve">3. </w:t>
      </w:r>
      <w:r>
        <w:rPr>
          <w:rFonts w:hint="eastAsia" w:ascii="仿宋_GB2312" w:hAnsi="仿宋_GB2312" w:eastAsia="仿宋_GB2312" w:cs="仿宋_GB2312"/>
          <w:b/>
          <w:sz w:val="24"/>
          <w:szCs w:val="24"/>
          <w:lang w:eastAsia="zh-CN"/>
        </w:rPr>
        <w:t>包号</w:t>
      </w:r>
      <w:r>
        <w:rPr>
          <w:rFonts w:hint="eastAsia" w:ascii="仿宋_GB2312" w:hAnsi="仿宋_GB2312" w:eastAsia="仿宋_GB2312" w:cs="仿宋_GB2312"/>
          <w:b/>
          <w:sz w:val="24"/>
          <w:szCs w:val="24"/>
          <w:lang w:val="en-US" w:eastAsia="zh-CN"/>
        </w:rPr>
        <w:t>3　</w:t>
      </w:r>
      <w:r>
        <w:rPr>
          <w:rFonts w:hint="eastAsia" w:ascii="仿宋" w:hAnsi="仿宋" w:eastAsia="仿宋"/>
          <w:b/>
          <w:sz w:val="24"/>
        </w:rPr>
        <w:t>移动床单元消毒机</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 应用于医院病床被褥、服装，枕芯、手术室衣物、床垫等用品的消毒灭菌。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 臭氧输出浓度：≥500mg/m³，提供相关臭氧浓检测报告。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3.3床袋（或罩）密闭时臭氧泄漏：≤0.1mg/m3。</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 机身采用简洁流畅的外型设计，外壳采用优质阻燃复合材料ABS工程塑料，表面光滑易擦拭。</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 结构形式：移动式底部有≥3个供移动的滑轮，设备顶部有方便推动的一体成型把手；背部有≥2个专用储存柜而非网兜，用于存放床罩、床袋、抽气与充气管路、可拆卸的制式电源线。</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 检修的便捷性：设备主要部件（臭氧发生装置、电动球阀等）可从设备底部通过静音滑轨抽拉出来；控制板等电控系统，可以通过顶部机盖轻松取出，即可实现方便地检修。</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 采用独特的搪瓷臭氧发生器，臭氧浓度大、产量高。</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 消毒程序：自动控制。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 采用专用抽、充气技术，使臭氧能更好地渗透到物体内部消毒</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3.10 采用微电脑操作控制系统，对消毒过程进行控制和观察</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3.11 消毒效果：对大肠杆菌8099的杀灭对数值≥3.00，对金黄色葡萄球菌ATCC6538杀灭对数值≥3.00，对白色念珠菌杀灭对数值≥3.00，提供相关检测报告。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3.12 能有效去除附着在物体上的各种异味、血腥味、霉味、大小便味等。对消毒物品有增白的作用。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3.13 设备程序运行采用抽气-消毒-密闭-解析的模式，各个程序阶段时间均可根据实际需求预先手动设置，设置范围为0～999min，可轻松完成个性化的消毒需求且操作简便。</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3.14 输入功率：≤140W，宽电压设计（AC85-264V），特别适用于电压波动的地方使用。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3.15 安装最小距离：与墙壁的最小距离50mm。</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3.16 贮存环境条件：环境温度：5～40℃；相对湿度：≤90%；大气压力：86kPa～106kPa。</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3.17 正常工作条件：</w:t>
      </w:r>
    </w:p>
    <w:p>
      <w:pPr>
        <w:keepNext w:val="0"/>
        <w:keepLines w:val="0"/>
        <w:pageBreakBefore w:val="0"/>
        <w:widowControl w:val="0"/>
        <w:kinsoku/>
        <w:wordWrap/>
        <w:overflowPunct/>
        <w:topLinePunct w:val="0"/>
        <w:autoSpaceDE/>
        <w:autoSpaceDN/>
        <w:bidi w:val="0"/>
        <w:adjustRightInd/>
        <w:snapToGrid/>
        <w:spacing w:after="0" w:line="240" w:lineRule="auto"/>
        <w:ind w:firstLine="710" w:firstLineChars="2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3.17.1 供电电源： 220V±22V　50Hz±1Hz，</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3.17.2 相对湿度：≤80%，</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3.17.3 环境温度：5℃～40℃</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3.17.4 大气压力：86kPa～106kPa。</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3.18 整机外形尺寸≤长614×宽545×高973mm。</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3.19 整机重量：≤30kg；</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rPr>
      </w:pPr>
      <w:r>
        <w:rPr>
          <w:rFonts w:hint="eastAsia" w:ascii="黑体" w:hAnsi="黑体" w:eastAsia="黑体" w:cs="黑体"/>
          <w:sz w:val="24"/>
          <w:szCs w:val="24"/>
        </w:rPr>
        <w:t>五、其他要求：</w:t>
      </w:r>
    </w:p>
    <w:p>
      <w:pPr>
        <w:widowControl/>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u w:val="single"/>
          <w:lang w:eastAsia="zh-CN"/>
        </w:rPr>
        <w:t>　　　</w:t>
      </w:r>
      <w:r>
        <w:rPr>
          <w:rFonts w:hint="eastAsia" w:ascii="仿宋_GB2312" w:hAnsi="仿宋_GB2312" w:eastAsia="仿宋_GB2312" w:cs="仿宋_GB2312"/>
          <w:b w:val="0"/>
          <w:bCs/>
          <w:kern w:val="0"/>
          <w:sz w:val="24"/>
        </w:rPr>
        <w:t>零配件价格表</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widowControl/>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注：投标人如实填写</w:t>
      </w:r>
      <w:r>
        <w:rPr>
          <w:rFonts w:hint="eastAsia" w:ascii="仿宋_GB2312" w:hAnsi="仿宋_GB2312" w:eastAsia="仿宋_GB2312" w:cs="仿宋_GB2312"/>
          <w:b w:val="0"/>
          <w:bCs/>
          <w:sz w:val="24"/>
          <w:szCs w:val="24"/>
          <w:lang w:eastAsia="zh-CN"/>
        </w:rPr>
        <w:t>《投标产品</w:t>
      </w:r>
      <w:r>
        <w:rPr>
          <w:rFonts w:hint="eastAsia" w:ascii="仿宋_GB2312" w:hAnsi="仿宋_GB2312" w:eastAsia="仿宋_GB2312" w:cs="仿宋_GB2312"/>
          <w:b w:val="0"/>
          <w:bCs/>
          <w:sz w:val="24"/>
          <w:szCs w:val="24"/>
          <w:u w:val="single"/>
          <w:lang w:val="en-US" w:eastAsia="zh-CN"/>
        </w:rPr>
        <w:t>　　　</w:t>
      </w:r>
      <w:r>
        <w:rPr>
          <w:rFonts w:hint="eastAsia" w:ascii="仿宋_GB2312" w:hAnsi="仿宋_GB2312" w:eastAsia="仿宋_GB2312" w:cs="仿宋_GB2312"/>
          <w:b w:val="0"/>
          <w:bCs/>
          <w:kern w:val="0"/>
          <w:sz w:val="24"/>
        </w:rPr>
        <w:t>零配件价格表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，填</w:t>
      </w:r>
      <w:r>
        <w:rPr>
          <w:rFonts w:hint="eastAsia" w:ascii="仿宋_GB2312" w:hAnsi="仿宋_GB2312" w:eastAsia="仿宋_GB2312" w:cs="仿宋_GB2312"/>
          <w:b w:val="0"/>
          <w:bCs/>
          <w:sz w:val="24"/>
          <w:szCs w:val="24"/>
          <w:lang w:eastAsia="zh-CN"/>
        </w:rPr>
        <w:t>写</w:t>
      </w:r>
      <w:r>
        <w:rPr>
          <w:rFonts w:hint="eastAsia" w:ascii="仿宋_GB2312" w:hAnsi="仿宋_GB2312" w:eastAsia="仿宋_GB2312" w:cs="仿宋_GB2312"/>
          <w:b w:val="0"/>
          <w:bCs/>
          <w:sz w:val="24"/>
          <w:szCs w:val="24"/>
        </w:rPr>
        <w:t>的</w:t>
      </w:r>
      <w:r>
        <w:rPr>
          <w:rFonts w:hint="eastAsia" w:ascii="仿宋_GB2312" w:hAnsi="仿宋_GB2312" w:eastAsia="仿宋_GB2312" w:cs="仿宋_GB2312"/>
          <w:b w:val="0"/>
          <w:bCs/>
          <w:sz w:val="24"/>
          <w:szCs w:val="24"/>
          <w:lang w:eastAsia="zh-CN"/>
        </w:rPr>
        <w:t>零配件价格</w:t>
      </w:r>
      <w:r>
        <w:rPr>
          <w:rFonts w:hint="eastAsia" w:ascii="仿宋_GB2312" w:hAnsi="仿宋_GB2312" w:eastAsia="仿宋_GB2312" w:cs="仿宋_GB2312"/>
          <w:b w:val="0"/>
          <w:bCs/>
          <w:sz w:val="24"/>
          <w:szCs w:val="24"/>
        </w:rPr>
        <w:t>仅作为</w:t>
      </w:r>
      <w:r>
        <w:rPr>
          <w:rFonts w:hint="eastAsia" w:ascii="仿宋_GB2312" w:hAnsi="仿宋_GB2312" w:eastAsia="仿宋_GB2312" w:cs="仿宋_GB2312"/>
          <w:b w:val="0"/>
          <w:bCs/>
          <w:sz w:val="24"/>
          <w:szCs w:val="24"/>
          <w:lang w:eastAsia="zh-CN"/>
        </w:rPr>
        <w:t>投标产品在质保期外</w:t>
      </w:r>
      <w:r>
        <w:rPr>
          <w:rFonts w:hint="eastAsia" w:ascii="仿宋_GB2312" w:hAnsi="仿宋_GB2312" w:eastAsia="仿宋_GB2312" w:cs="仿宋_GB2312"/>
          <w:b w:val="0"/>
          <w:bCs/>
          <w:sz w:val="24"/>
          <w:szCs w:val="24"/>
        </w:rPr>
        <w:t>维修时</w:t>
      </w:r>
      <w:r>
        <w:rPr>
          <w:rFonts w:hint="eastAsia" w:ascii="仿宋_GB2312" w:hAnsi="仿宋_GB2312" w:eastAsia="仿宋_GB2312" w:cs="仿宋_GB2312"/>
          <w:b w:val="0"/>
          <w:bCs/>
          <w:sz w:val="24"/>
          <w:szCs w:val="24"/>
          <w:lang w:eastAsia="zh-CN"/>
        </w:rPr>
        <w:t>更换</w:t>
      </w:r>
      <w:r>
        <w:rPr>
          <w:rFonts w:hint="eastAsia" w:ascii="仿宋_GB2312" w:hAnsi="仿宋_GB2312" w:eastAsia="仿宋_GB2312" w:cs="仿宋_GB2312"/>
          <w:b w:val="0"/>
          <w:bCs/>
          <w:kern w:val="0"/>
          <w:sz w:val="24"/>
        </w:rPr>
        <w:t>零配件</w:t>
      </w:r>
      <w:r>
        <w:rPr>
          <w:rFonts w:hint="eastAsia" w:ascii="仿宋_GB2312" w:hAnsi="仿宋_GB2312" w:eastAsia="仿宋_GB2312" w:cs="仿宋_GB2312"/>
          <w:b w:val="0"/>
          <w:bCs/>
          <w:kern w:val="0"/>
          <w:sz w:val="24"/>
          <w:lang w:eastAsia="zh-CN"/>
        </w:rPr>
        <w:t>的</w:t>
      </w:r>
      <w:r>
        <w:rPr>
          <w:rFonts w:hint="eastAsia" w:ascii="仿宋_GB2312" w:hAnsi="仿宋_GB2312" w:eastAsia="仿宋_GB2312" w:cs="仿宋_GB2312"/>
          <w:b w:val="0"/>
          <w:bCs/>
          <w:sz w:val="24"/>
          <w:szCs w:val="24"/>
        </w:rPr>
        <w:t>参考价格，</w:t>
      </w:r>
      <w:r>
        <w:rPr>
          <w:rFonts w:hint="eastAsia" w:ascii="仿宋_GB2312" w:hAnsi="仿宋_GB2312" w:eastAsia="仿宋_GB2312" w:cs="仿宋_GB2312"/>
          <w:b w:val="0"/>
          <w:bCs/>
          <w:sz w:val="24"/>
          <w:szCs w:val="24"/>
          <w:lang w:eastAsia="zh-CN"/>
        </w:rPr>
        <w:t>若有</w:t>
      </w:r>
      <w:r>
        <w:rPr>
          <w:rFonts w:hint="eastAsia" w:ascii="仿宋_GB2312" w:hAnsi="仿宋_GB2312" w:eastAsia="仿宋_GB2312" w:cs="仿宋_GB2312"/>
          <w:b w:val="0"/>
          <w:bCs/>
          <w:sz w:val="24"/>
          <w:szCs w:val="24"/>
        </w:rPr>
        <w:t>未填报</w:t>
      </w:r>
      <w:r>
        <w:rPr>
          <w:rFonts w:hint="eastAsia" w:ascii="仿宋_GB2312" w:hAnsi="仿宋_GB2312" w:eastAsia="仿宋_GB2312" w:cs="仿宋_GB2312"/>
          <w:b w:val="0"/>
          <w:bCs/>
          <w:sz w:val="24"/>
          <w:szCs w:val="24"/>
          <w:lang w:eastAsia="zh-CN"/>
        </w:rPr>
        <w:t>的投标</w:t>
      </w:r>
      <w:r>
        <w:rPr>
          <w:rFonts w:hint="eastAsia" w:ascii="仿宋_GB2312" w:hAnsi="仿宋_GB2312" w:eastAsia="仿宋_GB2312" w:cs="仿宋_GB2312"/>
          <w:b w:val="0"/>
          <w:bCs/>
          <w:sz w:val="24"/>
          <w:szCs w:val="24"/>
        </w:rPr>
        <w:t>产品零配件则由</w:t>
      </w:r>
      <w:r>
        <w:rPr>
          <w:rFonts w:hint="eastAsia" w:ascii="仿宋_GB2312" w:hAnsi="仿宋_GB2312" w:eastAsia="仿宋_GB2312" w:cs="仿宋_GB2312"/>
          <w:b w:val="0"/>
          <w:bCs/>
          <w:sz w:val="24"/>
          <w:szCs w:val="24"/>
          <w:lang w:eastAsia="zh-CN"/>
        </w:rPr>
        <w:t>投标人或生产公司</w:t>
      </w:r>
      <w:r>
        <w:rPr>
          <w:rFonts w:hint="eastAsia" w:ascii="仿宋_GB2312" w:hAnsi="仿宋_GB2312" w:eastAsia="仿宋_GB2312" w:cs="仿宋_GB2312"/>
          <w:b w:val="0"/>
          <w:bCs/>
          <w:sz w:val="24"/>
          <w:szCs w:val="24"/>
        </w:rPr>
        <w:t>免费提供</w:t>
      </w:r>
      <w:r>
        <w:rPr>
          <w:rFonts w:hint="eastAsia" w:ascii="仿宋_GB2312" w:hAnsi="仿宋_GB2312" w:eastAsia="仿宋_GB2312" w:cs="仿宋_GB2312"/>
          <w:b w:val="0"/>
          <w:bCs/>
          <w:sz w:val="24"/>
          <w:szCs w:val="24"/>
          <w:lang w:eastAsia="zh-CN"/>
        </w:rPr>
        <w:t>（需投标人及生产公司盖章）</w:t>
      </w:r>
      <w:r>
        <w:rPr>
          <w:rFonts w:hint="eastAsia" w:ascii="仿宋_GB2312" w:hAnsi="仿宋_GB2312" w:eastAsia="仿宋_GB2312" w:cs="仿宋_GB2312"/>
          <w:b w:val="0"/>
          <w:bCs/>
          <w:sz w:val="24"/>
          <w:szCs w:val="24"/>
        </w:rPr>
        <w:t>。</w:t>
      </w:r>
    </w:p>
    <w:p>
      <w:pPr>
        <w:spacing w:after="156" w:afterLines="50" w:line="240" w:lineRule="auto"/>
        <w:rPr>
          <w:rFonts w:ascii="仿宋" w:hAnsi="仿宋" w:eastAsia="仿宋"/>
          <w:bCs/>
          <w:sz w:val="24"/>
        </w:rPr>
      </w:pPr>
    </w:p>
    <w:p>
      <w:pPr>
        <w:pStyle w:val="35"/>
        <w:pageBreakBefore w:val="0"/>
        <w:kinsoku/>
        <w:wordWrap/>
        <w:overflowPunct/>
        <w:topLinePunct w:val="0"/>
        <w:bidi w:val="0"/>
        <w:spacing w:line="240" w:lineRule="auto"/>
        <w:jc w:val="both"/>
        <w:rPr>
          <w:rFonts w:hint="eastAsia"/>
          <w:lang w:eastAsia="zh-CN"/>
        </w:rPr>
      </w:pPr>
      <w:r>
        <w:rPr>
          <w:rFonts w:hint="eastAsia"/>
          <w:lang w:eastAsia="zh-CN"/>
        </w:rPr>
        <w:br w:type="page"/>
      </w:r>
    </w:p>
    <w:p>
      <w:pPr>
        <w:pStyle w:val="35"/>
        <w:pageBreakBefore w:val="0"/>
        <w:kinsoku/>
        <w:wordWrap/>
        <w:overflowPunct/>
        <w:topLinePunct w:val="0"/>
        <w:bidi w:val="0"/>
        <w:spacing w:line="240" w:lineRule="auto"/>
        <w:rPr>
          <w:rFonts w:hint="eastAsia"/>
          <w:lang w:eastAsia="zh-CN"/>
        </w:rPr>
      </w:pPr>
      <w:bookmarkStart w:id="13" w:name="_Toc30897_WPSOffice_Level1"/>
      <w:r>
        <w:rPr>
          <w:rFonts w:hint="eastAsia"/>
          <w:lang w:eastAsia="zh-CN"/>
        </w:rPr>
        <w:t>第三章  评标办法</w:t>
      </w:r>
      <w:bookmarkEnd w:id="13"/>
      <w:bookmarkStart w:id="14" w:name="_Hlt101846155"/>
      <w:bookmarkEnd w:id="14"/>
      <w:bookmarkStart w:id="15" w:name="_Toc217446097"/>
      <w:bookmarkStart w:id="16" w:name="_Toc183582280"/>
      <w:bookmarkStart w:id="17" w:name="_Toc208849007"/>
      <w:bookmarkStart w:id="18" w:name="_Toc183682415"/>
    </w:p>
    <w:bookmarkEnd w:id="15"/>
    <w:bookmarkEnd w:id="16"/>
    <w:bookmarkEnd w:id="17"/>
    <w:bookmarkEnd w:id="18"/>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keepNext w:val="0"/>
        <w:keepLines w:val="0"/>
        <w:pageBreakBefore w:val="0"/>
        <w:widowControl w:val="0"/>
        <w:kinsoku/>
        <w:wordWrap/>
        <w:overflowPunct/>
        <w:topLinePunct w:val="0"/>
        <w:bidi w:val="0"/>
        <w:snapToGrid/>
        <w:spacing w:after="0" w:line="240" w:lineRule="auto"/>
        <w:ind w:firstLine="482" w:firstLineChars="200"/>
        <w:jc w:val="both"/>
        <w:textAlignment w:val="auto"/>
        <w:outlineLvl w:val="9"/>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keepNext w:val="0"/>
        <w:keepLines w:val="0"/>
        <w:pageBreakBefore w:val="0"/>
        <w:widowControl w:val="0"/>
        <w:tabs>
          <w:tab w:val="left" w:pos="600"/>
        </w:tabs>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843" w:type="dxa"/>
        <w:jc w:val="center"/>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92"/>
        <w:gridCol w:w="561"/>
        <w:gridCol w:w="4959"/>
        <w:gridCol w:w="162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292"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959"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20" w:type="dxa"/>
            <w:vAlign w:val="center"/>
          </w:tcPr>
          <w:p>
            <w:pPr>
              <w:pageBreakBefore w:val="0"/>
              <w:kinsoku/>
              <w:wordWrap/>
              <w:overflowPunct/>
              <w:topLinePunct w:val="0"/>
              <w:bidi w:val="0"/>
              <w:spacing w:afterLines="50" w:line="240" w:lineRule="auto"/>
              <w:jc w:val="center"/>
              <w:rPr>
                <w:rFonts w:ascii="仿宋" w:hAnsi="仿宋" w:eastAsia="仿宋"/>
                <w:szCs w:val="21"/>
              </w:rPr>
            </w:pPr>
            <w:r>
              <w:rPr>
                <w:rFonts w:hint="eastAsia" w:ascii="仿宋" w:hAnsi="仿宋" w:eastAsia="仿宋"/>
                <w:szCs w:val="21"/>
              </w:rPr>
              <w:t>备注</w:t>
            </w:r>
          </w:p>
        </w:tc>
        <w:tc>
          <w:tcPr>
            <w:tcW w:w="923" w:type="dxa"/>
            <w:vAlign w:val="center"/>
          </w:tcPr>
          <w:p>
            <w:pPr>
              <w:pageBreakBefore w:val="0"/>
              <w:kinsoku/>
              <w:wordWrap/>
              <w:overflowPunct/>
              <w:topLinePunct w:val="0"/>
              <w:bidi w:val="0"/>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959" w:type="dxa"/>
            <w:vAlign w:val="center"/>
          </w:tcPr>
          <w:p>
            <w:pPr>
              <w:pageBreakBefore w:val="0"/>
              <w:kinsoku/>
              <w:wordWrap/>
              <w:overflowPunct/>
              <w:topLinePunct w:val="0"/>
              <w:bidi w:val="0"/>
              <w:spacing w:afterLines="50" w:line="240" w:lineRule="auto"/>
              <w:jc w:val="left"/>
              <w:rPr>
                <w:rFonts w:ascii="仿宋" w:hAnsi="仿宋" w:eastAsia="仿宋"/>
                <w:szCs w:val="21"/>
              </w:rPr>
            </w:pPr>
            <w:r>
              <w:rPr>
                <w:rFonts w:hint="eastAsia" w:ascii="仿宋" w:hAnsi="仿宋" w:eastAsia="仿宋"/>
                <w:szCs w:val="21"/>
              </w:rPr>
              <w:t>满足医学装备采购要求及评分标准要求且投标价格最低的投标报价为基准价，其价格分为满分。其他投标人的价格分统一按照下列公式计算：投标报价得分=</w:t>
            </w:r>
            <w:r>
              <w:rPr>
                <w:rFonts w:ascii="仿宋" w:hAnsi="仿宋" w:eastAsia="仿宋"/>
                <w:szCs w:val="21"/>
              </w:rPr>
              <w:t>(</w:t>
            </w:r>
            <w:r>
              <w:rPr>
                <w:rFonts w:hint="eastAsia" w:ascii="仿宋" w:hAnsi="仿宋" w:eastAsia="仿宋"/>
                <w:szCs w:val="21"/>
              </w:rPr>
              <w:t>评标基准价／投标报价</w:t>
            </w:r>
            <w:r>
              <w:rPr>
                <w:rFonts w:ascii="仿宋" w:hAnsi="仿宋" w:eastAsia="仿宋"/>
                <w:szCs w:val="21"/>
              </w:rPr>
              <w:t>)</w:t>
            </w:r>
            <w:r>
              <w:rPr>
                <w:rFonts w:hint="eastAsia" w:ascii="仿宋" w:hAnsi="仿宋" w:eastAsia="仿宋"/>
                <w:szCs w:val="21"/>
              </w:rPr>
              <w:t>×</w:t>
            </w:r>
            <w:r>
              <w:rPr>
                <w:rFonts w:ascii="仿宋" w:hAnsi="仿宋" w:eastAsia="仿宋"/>
                <w:szCs w:val="21"/>
              </w:rPr>
              <w:t>35%</w:t>
            </w:r>
            <w:r>
              <w:rPr>
                <w:rFonts w:hint="eastAsia" w:ascii="仿宋" w:hAnsi="仿宋" w:eastAsia="仿宋"/>
                <w:szCs w:val="21"/>
              </w:rPr>
              <w:t>×</w:t>
            </w:r>
            <w:r>
              <w:rPr>
                <w:rFonts w:ascii="仿宋" w:hAnsi="仿宋" w:eastAsia="仿宋"/>
                <w:szCs w:val="21"/>
              </w:rPr>
              <w:t>100</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ascii="仿宋" w:hAnsi="仿宋" w:eastAsia="仿宋"/>
                <w:szCs w:val="21"/>
              </w:rPr>
              <w:t>2</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53分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要求、四、产品要求、五、其他要求”，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292"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4分</w:t>
            </w:r>
          </w:p>
        </w:tc>
        <w:tc>
          <w:tcPr>
            <w:tcW w:w="4959"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20"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lang w:val="en-US" w:eastAsia="zh-CN"/>
              </w:rPr>
              <w:t>8</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20" w:type="dxa"/>
            <w:vAlign w:val="center"/>
          </w:tcPr>
          <w:p>
            <w:pPr>
              <w:pageBreakBefore w:val="0"/>
              <w:kinsoku/>
              <w:wordWrap/>
              <w:overflowPunct/>
              <w:topLinePunct w:val="0"/>
              <w:bidi w:val="0"/>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923" w:type="dxa"/>
            <w:vAlign w:val="center"/>
          </w:tcPr>
          <w:p>
            <w:pPr>
              <w:pageBreakBefore w:val="0"/>
              <w:kinsoku/>
              <w:wordWrap/>
              <w:overflowPunct/>
              <w:topLinePunct w:val="0"/>
              <w:bidi w:val="0"/>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bl>
    <w:p>
      <w:pPr>
        <w:pStyle w:val="14"/>
        <w:pageBreakBefore w:val="0"/>
        <w:kinsoku/>
        <w:wordWrap/>
        <w:overflowPunct/>
        <w:topLinePunct w:val="0"/>
        <w:bidi w:val="0"/>
        <w:spacing w:line="240" w:lineRule="auto"/>
      </w:pPr>
      <w:r>
        <w:rPr>
          <w:rFonts w:ascii="黑体" w:hAnsi="黑体" w:eastAsia="黑体"/>
          <w:szCs w:val="21"/>
        </w:rPr>
        <w:br w:type="page"/>
      </w:r>
    </w:p>
    <w:p>
      <w:pPr>
        <w:pStyle w:val="35"/>
        <w:pageBreakBefore w:val="0"/>
        <w:kinsoku/>
        <w:wordWrap/>
        <w:overflowPunct/>
        <w:topLinePunct w:val="0"/>
        <w:bidi w:val="0"/>
        <w:spacing w:line="240" w:lineRule="auto"/>
        <w:rPr>
          <w:rFonts w:hint="eastAsia"/>
          <w:lang w:eastAsia="zh-CN"/>
        </w:rPr>
      </w:pPr>
      <w:bookmarkStart w:id="21" w:name="_Toc3654_WPSOffice_Level1"/>
      <w:r>
        <w:rPr>
          <w:rFonts w:hint="eastAsia"/>
          <w:lang w:eastAsia="zh-CN"/>
        </w:rPr>
        <w:t>第四章　采购合同</w:t>
      </w:r>
      <w:bookmarkEnd w:id="21"/>
    </w:p>
    <w:p>
      <w:pPr>
        <w:pStyle w:val="3"/>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采购合同</w:t>
      </w:r>
    </w:p>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      年　月　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采购人（甲方）：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供应商（乙方）： </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22" w:name="_Toc217446107"/>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rPr>
        <w:t>合同产品</w:t>
      </w:r>
      <w:bookmarkEnd w:id="22"/>
    </w:p>
    <w:tbl>
      <w:tblPr>
        <w:tblStyle w:val="19"/>
        <w:tblW w:w="9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60"/>
        <w:gridCol w:w="1342"/>
        <w:gridCol w:w="716"/>
        <w:gridCol w:w="1212"/>
        <w:gridCol w:w="1060"/>
        <w:gridCol w:w="153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9"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包</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品目</w:t>
            </w:r>
          </w:p>
        </w:tc>
        <w:tc>
          <w:tcPr>
            <w:tcW w:w="166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产品名称</w:t>
            </w:r>
          </w:p>
        </w:tc>
        <w:tc>
          <w:tcPr>
            <w:tcW w:w="1342"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规格型号</w:t>
            </w:r>
          </w:p>
        </w:tc>
        <w:tc>
          <w:tcPr>
            <w:tcW w:w="716"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212"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单价　（万元）</w:t>
            </w:r>
          </w:p>
        </w:tc>
        <w:tc>
          <w:tcPr>
            <w:tcW w:w="106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金额　　（万元）</w:t>
            </w:r>
          </w:p>
        </w:tc>
        <w:tc>
          <w:tcPr>
            <w:tcW w:w="153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生产公司</w:t>
            </w:r>
          </w:p>
        </w:tc>
        <w:tc>
          <w:tcPr>
            <w:tcW w:w="158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49"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6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342" w:type="dxa"/>
            <w:vAlign w:val="center"/>
          </w:tcPr>
          <w:p>
            <w:pPr>
              <w:pageBreakBefore w:val="0"/>
              <w:widowControl/>
              <w:kinsoku/>
              <w:wordWrap/>
              <w:overflowPunct/>
              <w:topLinePunct w:val="0"/>
              <w:autoSpaceDE/>
              <w:autoSpaceDN/>
              <w:bidi w:val="0"/>
              <w:spacing w:line="240" w:lineRule="auto"/>
              <w:jc w:val="left"/>
              <w:textAlignment w:val="auto"/>
              <w:outlineLvl w:val="1"/>
              <w:rPr>
                <w:rFonts w:hint="eastAsia" w:ascii="仿宋_GB2312" w:hAnsi="仿宋_GB2312" w:eastAsia="仿宋_GB2312" w:cs="仿宋_GB2312"/>
                <w:sz w:val="24"/>
                <w:szCs w:val="24"/>
              </w:rPr>
            </w:pPr>
          </w:p>
        </w:tc>
        <w:tc>
          <w:tcPr>
            <w:tcW w:w="716"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212"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0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3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8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49"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6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342" w:type="dxa"/>
            <w:vAlign w:val="center"/>
          </w:tcPr>
          <w:p>
            <w:pPr>
              <w:pageBreakBefore w:val="0"/>
              <w:widowControl/>
              <w:kinsoku/>
              <w:wordWrap/>
              <w:overflowPunct/>
              <w:topLinePunct w:val="0"/>
              <w:autoSpaceDE/>
              <w:autoSpaceDN/>
              <w:bidi w:val="0"/>
              <w:spacing w:line="240" w:lineRule="auto"/>
              <w:jc w:val="left"/>
              <w:textAlignment w:val="auto"/>
              <w:outlineLvl w:val="1"/>
              <w:rPr>
                <w:rFonts w:hint="eastAsia" w:ascii="仿宋_GB2312" w:hAnsi="仿宋_GB2312" w:eastAsia="仿宋_GB2312" w:cs="仿宋_GB2312"/>
                <w:sz w:val="24"/>
                <w:szCs w:val="24"/>
              </w:rPr>
            </w:pPr>
          </w:p>
        </w:tc>
        <w:tc>
          <w:tcPr>
            <w:tcW w:w="716"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212"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0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3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8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9849" w:type="dxa"/>
            <w:gridSpan w:val="8"/>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万元   （大写：人民币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万元整）</w:t>
            </w:r>
          </w:p>
        </w:tc>
      </w:tr>
    </w:tbl>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3" w:name="_Toc217446108"/>
      <w:r>
        <w:rPr>
          <w:rFonts w:hint="eastAsia" w:ascii="黑体" w:hAnsi="黑体" w:eastAsia="黑体" w:cs="黑体"/>
          <w:sz w:val="24"/>
          <w:szCs w:val="24"/>
          <w:lang w:eastAsia="zh-CN"/>
        </w:rPr>
        <w:t>二、合同总价</w:t>
      </w:r>
      <w:bookmarkEnd w:id="23"/>
    </w:p>
    <w:p>
      <w:pPr>
        <w:pStyle w:val="6"/>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合同总价为人民币大写：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万元整，即RMB￥：</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4" w:name="_Toc217446109"/>
      <w:r>
        <w:rPr>
          <w:rFonts w:hint="eastAsia" w:ascii="黑体" w:hAnsi="黑体" w:eastAsia="黑体" w:cs="黑体"/>
          <w:sz w:val="24"/>
          <w:szCs w:val="24"/>
          <w:lang w:eastAsia="zh-CN"/>
        </w:rPr>
        <w:t>三、质量要求</w:t>
      </w:r>
      <w:bookmarkEnd w:id="24"/>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乙方须提供全新的产品（含零部件、配件等），表面无划伤、无碰撞痕迹，且权属清楚，不得侵害他人的知识产权。</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2. </w:t>
      </w:r>
      <w:r>
        <w:rPr>
          <w:rFonts w:hint="eastAsia" w:ascii="仿宋_GB2312" w:hAnsi="仿宋_GB2312" w:eastAsia="仿宋_GB2312" w:cs="仿宋_GB2312"/>
          <w:sz w:val="24"/>
          <w:szCs w:val="24"/>
        </w:rPr>
        <w:t>产品必须符合或优于国家（行业）标准，以及本项目招标文件的质量要求和技术指标与出厂标准。</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z w:val="24"/>
          <w:szCs w:val="24"/>
        </w:rPr>
        <w:t>乙方须在本合同签订生效之日起30日内送交产品；每台产品上均应有产品质量检验合格标志。</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产品制造质量出现问题，乙方应负责三包（包修、包换、包退），费用由乙方负担，甲方有权到乙方生产场地检查产品质量和生产进度。</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5. </w:t>
      </w:r>
      <w:r>
        <w:rPr>
          <w:rFonts w:hint="eastAsia" w:ascii="仿宋_GB2312" w:hAnsi="仿宋_GB2312" w:eastAsia="仿宋_GB2312" w:cs="仿宋_GB2312"/>
          <w:sz w:val="24"/>
          <w:szCs w:val="24"/>
        </w:rPr>
        <w:t>货到现场后由于甲方保管不当造成的质量问题，乙方亦应负责修理，但费用由甲方负担。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四、质量保证</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1．整机设备质保期为2年。自设备安装调试完毕、设备运行正常、甲乙双方验收合格签名确认之日起计算质保期。</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乙方应免费负责设备维修及抢修，并承担修理调换的费用。如产品经乙方3次维修仍不能达到本合同约定的质量标准，视作乙方未能按时交货，甲方有权退货并追究乙方的违约责任。乙方保证年故障率小于或等于5％（365天/年计算），若大于5％则相应延长保修期，最少顺延30天，保修期内维修机器停机的时间，在保修期内扣除后延长保修时间。（人为因素或不可抗拒的自然现象所引起的故障或破损除外）。</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提供终身服务、软件终身免费升级。提供</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年整机备件，已包含在合同价中，甲方无须另行付费。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五、产品包装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以适合远洋/铁路/航空/陆路运输及气候变化的经过熏蒸后的坚固木箱或集装箱包装，这类包装应采取防潮、防晒、防锈、防腐蚀、防震动及防止其它损坏的必要保护措施，从而保护产品能够经受多次搬运、装卸及远洋和内陆的长途运输、包装费用由乙方承担。乙方应承担由于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如果在目的港的检疫中发现昆虫侵害，由于熏蒸或更换包装问题而产生的相关费用应由乙方负担。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包装箱内和包装箱外应分别放置装箱单和质量凭证书各一份。</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5" w:name="_Toc217446110"/>
      <w:r>
        <w:rPr>
          <w:rFonts w:hint="eastAsia" w:ascii="黑体" w:hAnsi="黑体" w:eastAsia="黑体" w:cs="黑体"/>
          <w:sz w:val="24"/>
          <w:szCs w:val="24"/>
          <w:lang w:eastAsia="zh-CN"/>
        </w:rPr>
        <w:t>六、</w:t>
      </w:r>
      <w:bookmarkEnd w:id="25"/>
      <w:r>
        <w:rPr>
          <w:rFonts w:hint="eastAsia" w:ascii="黑体" w:hAnsi="黑体" w:eastAsia="黑体" w:cs="黑体"/>
          <w:sz w:val="24"/>
          <w:szCs w:val="24"/>
          <w:lang w:eastAsia="zh-CN"/>
        </w:rPr>
        <w:t>安装调试和验收培训</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乙方提供机房设计及改造方案，设备安装、调试和培训由乙方免费提供。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乙方应派遣有丰富经验和相应能力的工程师对设备进行现场安装调试，并对安装调试错误所导致的设备损坏承担全部赔偿责任。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设备验收在甲方的安装地点进行。在产品抵达甲方指定地点后3个工作日内，乙方应派人员抵达甲方指定地点，依据乙方提供的装箱清单、检验合格证书、使用说明书及质量标准等有关资料对产品进行安装、调试、验收，并对安装调试错误所导致的设备损坏承担全部赔偿责任，设备安装后须达到正常运行要求，保证甲方正常使用。如有短缺、规格质量不符、资料不全等，由乙方在30日内无偿给予更换、补齐，并承担由此产生的全部费用。到达现场组织安装所需的费用包括在投标总价格中。</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验收标准以招标文件技术参数及要求和相关行业标准为准。设备安装调试完毕后，按其标准进行验收，验收合格后，经双方代表签字有效。验收时甲方有权对乙方投标文件所提供的技术参数进行检查。</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无论甲方是否要求和是否知道，乙方均有义务主动及时地向甲方提供合同设备制造过程中出现的较大质量缺陷和问题，不得隐瞒。</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无论甲方人员是否参与见证及出厂检验或甲方代表参加了见证与检验，并且签了制造与检验报告，均不能视为乙方按合同规定应承担的质量保证责任的解除，也不能免除乙方对设备质量应负的责任。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其他未尽事宜应严格按照《四川省政府采购项目需求论证和履约验收管理办法》（川财采〔2015〕32号）的要求进行。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七、资料提供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1.原产地证明书(由制造厂签发)；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2.提供主机及配套设备的安装图纸及说明；</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3.提供主机及配套设备使用说明书、维护手册；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4.备件手册、零件及易损件的图纸及相关资料；</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其它相关技术资料。</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6.乙方提供的技术资料应使用国家法定单位制即国际单位制。</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6" w:name="_Toc217446111"/>
      <w:r>
        <w:rPr>
          <w:rFonts w:hint="eastAsia" w:ascii="黑体" w:hAnsi="黑体" w:eastAsia="黑体" w:cs="黑体"/>
          <w:sz w:val="24"/>
          <w:szCs w:val="24"/>
          <w:lang w:eastAsia="zh-CN"/>
        </w:rPr>
        <w:t>八、付款方式</w:t>
      </w:r>
      <w:bookmarkEnd w:id="26"/>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1．所有产品在甲方使用现场交付清点无误，安装、调试完毕、资料交接完毕，经验收合格后7个工作日内，付合同总金额的30%，即人民币：    元（人民币大写：   元整），自设备安装正常运行半年后七个工作日内付合同总金额的60%，即人民币：    元（人民币大写：    元整） ，质保期内设备正常运行满一年后七个工作日内付10%，即人民币：   元（人民币大写：   元整），付清余款。</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2.乙方须向甲方出具合法有效完整的完税发票及凭证资料进行支付结算。</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3.所有在中国境外发生的银行费用和在中国境内发生的银行费用由乙方承担。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7" w:name="_Toc217446112"/>
      <w:r>
        <w:rPr>
          <w:rFonts w:hint="eastAsia" w:ascii="黑体" w:hAnsi="黑体" w:eastAsia="黑体" w:cs="黑体"/>
          <w:sz w:val="24"/>
          <w:szCs w:val="24"/>
          <w:lang w:eastAsia="zh-CN"/>
        </w:rPr>
        <w:t>九、售后服务</w:t>
      </w:r>
      <w:bookmarkEnd w:id="27"/>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2.提供有关资料及售后服务承诺。</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3.备件送达期限：在设备的使用寿命期内，乙方应保证国内不超过7天，国外不超过21天。</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4.终身零配件供应：乙方应保证设备停产后的备件供应保证10年，并以优惠的价格提供该设备所需的维修零配件。</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5.维修响应速度：设备在质保期内，乙方负责因设备本身缺陷导致的各种故障的免费技术服务和设备的维修，维修2小时响应，如48小时内未解决问题，每停机超过1天，质保期顺延1天。</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6.质量保证期后，乙方应保证设备生产商和/或其售后服务商在接到甲方通知后，及时派工程师到甲方现场，同时提供优质的技术服务和完整的备件供应。</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7.乙方应保证在投标文件中声明其或设备生产商终身售后服务方式和能力。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8" w:name="_Toc217446113"/>
      <w:r>
        <w:rPr>
          <w:rFonts w:hint="eastAsia" w:ascii="黑体" w:hAnsi="黑体" w:eastAsia="黑体" w:cs="黑体"/>
          <w:sz w:val="24"/>
          <w:szCs w:val="24"/>
          <w:lang w:eastAsia="zh-CN"/>
        </w:rPr>
        <w:t>十、违约责任</w:t>
      </w:r>
      <w:bookmarkEnd w:id="28"/>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1、甲方违约责任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（1）甲方无正当理由拒收产品的，甲方应支付合同总价百分之 二十 的违约金；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（2）甲方逾期支付货款的，除应及时付足货款外，应向乙方支付产品欠款总额万分之 三/日的违约金。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2、乙方违约责任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（1）乙方交付的产品质量不符合本合同约定的，乙方应向甲方支付合同总价百分之 二十 的违约金，并须在本合同约定的交货时间内更换合格的产品给甲方，否则，视作乙方不能交付产品而违约，按本条本款下述第“（2）”项约定由乙方支付违约金支付给甲方。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（2）乙方不能交付产品或逾期交付产品的，除应及时交足产品外，应向甲方支付逾期交货部分货款总额的万分之 三  /日的违约金；逾期交货超过30日，甲方有权终止本合同，乙方应按未交付产品总价百分之二十的向甲方支付违约金。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（3）如果产品质量出现问题，根据情况甲方可送交具有法定资格的质量技术监督机构检测，如检测结果认定产品质量不符合本合同约定标准的，则视为乙方没有按时交货，乙方须在  十日内无条件更换合格的产品，如逾期不能更换合格的产品，需方有权终止本合同，乙方应支付交付产品总价百分之 二十  的违约金给甲方。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 二十  向甲方支付违约金并赔偿因此给甲方造成的一切损失。</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（5）乙方偿付的违约金不足以弥补甲方损失的，还应按甲方损失尚未弥补的部分进行赔偿。</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9" w:name="_Toc217446114"/>
      <w:r>
        <w:rPr>
          <w:rFonts w:hint="eastAsia" w:ascii="黑体" w:hAnsi="黑体" w:eastAsia="黑体" w:cs="黑体"/>
          <w:sz w:val="24"/>
          <w:szCs w:val="24"/>
          <w:lang w:eastAsia="zh-CN"/>
        </w:rPr>
        <w:t>十一、争议解决办法</w:t>
      </w:r>
      <w:bookmarkEnd w:id="29"/>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1、因产品的质量问题发生争议，由质量技术监督部门或其指定的质量鉴定机构进行质量鉴定。产品符合标准的，鉴定费由甲方承担；产品不符合质量标准的，鉴定费由乙方承担。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2、合同履行期间,若双方发生争议，可协商或由有关部门调解解决，协商或调解不成的，争端应提交甲方所在地人民法院诉讼。</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30" w:name="_Toc217446115"/>
      <w:r>
        <w:rPr>
          <w:rFonts w:hint="eastAsia" w:ascii="黑体" w:hAnsi="黑体" w:eastAsia="黑体" w:cs="黑体"/>
          <w:sz w:val="24"/>
          <w:szCs w:val="24"/>
          <w:lang w:eastAsia="zh-CN"/>
        </w:rPr>
        <w:t>十二、其他</w:t>
      </w:r>
      <w:bookmarkEnd w:id="30"/>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1、如有未尽事宜，由甲乙双方协商解决或依法订立补充合同。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2、本合同一式六份，自双方签章之日起生效。甲方三份，乙方、政府采购管理部门、采购代理机构各一份。</w:t>
      </w:r>
    </w:p>
    <w:p>
      <w:pPr>
        <w:pStyle w:val="9"/>
        <w:pageBreakBefore w:val="0"/>
        <w:kinsoku/>
        <w:wordWrap/>
        <w:overflowPunct/>
        <w:topLinePunct w:val="0"/>
        <w:autoSpaceDE/>
        <w:autoSpaceDN/>
        <w:bidi w:val="0"/>
        <w:adjustRightInd w:val="0"/>
        <w:snapToGrid w:val="0"/>
        <w:spacing w:after="160" w:line="240" w:lineRule="auto"/>
        <w:textAlignment w:val="auto"/>
        <w:rPr>
          <w:rFonts w:hint="eastAsia" w:ascii="仿宋_GB2312" w:hAnsi="仿宋_GB2312" w:eastAsia="仿宋_GB2312" w:cs="仿宋_GB2312"/>
          <w:spacing w:val="-26"/>
          <w:sz w:val="24"/>
          <w:szCs w:val="24"/>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联系QQ</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联系QQ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pStyle w:val="9"/>
        <w:pageBreakBefore w:val="0"/>
        <w:kinsoku/>
        <w:wordWrap/>
        <w:overflowPunct/>
        <w:topLinePunct w:val="0"/>
        <w:autoSpaceDE/>
        <w:autoSpaceDN/>
        <w:bidi w:val="0"/>
        <w:adjustRightInd w:val="0"/>
        <w:snapToGrid w:val="0"/>
        <w:spacing w:line="240" w:lineRule="auto"/>
        <w:ind w:firstLine="376" w:firstLineChars="200"/>
        <w:textAlignment w:val="auto"/>
        <w:rPr>
          <w:rFonts w:hint="eastAsia" w:ascii="仿宋_GB2312" w:hAnsi="仿宋_GB2312" w:eastAsia="仿宋_GB2312" w:cs="仿宋_GB2312"/>
          <w:spacing w:val="-26"/>
          <w:sz w:val="24"/>
          <w:szCs w:val="24"/>
        </w:rPr>
      </w:pPr>
      <w:r>
        <w:rPr>
          <w:rFonts w:hint="eastAsia" w:ascii="仿宋_GB2312" w:hAnsi="仿宋_GB2312" w:eastAsia="仿宋_GB2312" w:cs="仿宋_GB2312"/>
          <w:spacing w:val="-26"/>
          <w:sz w:val="24"/>
          <w:szCs w:val="24"/>
        </w:rPr>
        <w:br w:type="page"/>
      </w:r>
    </w:p>
    <w:p>
      <w:pPr>
        <w:spacing w:line="400" w:lineRule="exact"/>
        <w:rPr>
          <w:rFonts w:hint="eastAsia" w:ascii="仿宋" w:hAnsi="仿宋" w:eastAsia="仿宋"/>
          <w:lang w:eastAsia="zh-CN"/>
        </w:rPr>
      </w:pPr>
      <w:r>
        <w:rPr>
          <w:rFonts w:hint="eastAsia" w:ascii="仿宋" w:hAnsi="仿宋" w:eastAsia="仿宋"/>
          <w:lang w:eastAsia="zh-CN"/>
        </w:rPr>
        <w:t>合同附件一：</w:t>
      </w:r>
    </w:p>
    <w:p>
      <w:pPr>
        <w:spacing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设备零配件清单</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pStyle w:val="9"/>
        <w:adjustRightInd w:val="0"/>
        <w:snapToGrid w:val="0"/>
        <w:spacing w:line="460" w:lineRule="atLeast"/>
        <w:ind w:firstLine="376" w:firstLineChars="200"/>
        <w:rPr>
          <w:rFonts w:hint="eastAsia" w:ascii="仿宋" w:hAnsi="仿宋" w:eastAsia="仿宋"/>
          <w:spacing w:val="-26"/>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pageBreakBefore w:val="0"/>
        <w:kinsoku/>
        <w:wordWrap/>
        <w:overflowPunct/>
        <w:topLinePunct w:val="0"/>
        <w:bidi w:val="0"/>
        <w:spacing w:line="240" w:lineRule="auto"/>
        <w:rPr>
          <w:rFonts w:hint="eastAsia" w:ascii="仿宋_GB2312" w:hAnsi="仿宋" w:eastAsia="仿宋_GB2312"/>
          <w:szCs w:val="21"/>
        </w:rPr>
      </w:pPr>
    </w:p>
    <w:p>
      <w:pPr>
        <w:pageBreakBefore w:val="0"/>
        <w:widowControl/>
        <w:kinsoku/>
        <w:wordWrap/>
        <w:overflowPunct/>
        <w:topLinePunct w:val="0"/>
        <w:bidi w:val="0"/>
        <w:spacing w:line="240" w:lineRule="auto"/>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pageBreakBefore w:val="0"/>
        <w:kinsoku/>
        <w:wordWrap/>
        <w:overflowPunct/>
        <w:topLinePunct w:val="0"/>
        <w:bidi w:val="0"/>
        <w:spacing w:line="240" w:lineRule="auto"/>
        <w:rPr>
          <w:rFonts w:hint="eastAsia"/>
        </w:rPr>
      </w:pPr>
      <w:bookmarkStart w:id="31" w:name="_Toc20023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1"/>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pageBreakBefore w:val="0"/>
              <w:kinsoku/>
              <w:wordWrap/>
              <w:overflowPunct/>
              <w:topLinePunct w:val="0"/>
              <w:bidi w:val="0"/>
              <w:spacing w:line="240" w:lineRule="auto"/>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hint="eastAsia" w:ascii="仿宋_GB2312" w:eastAsia="仿宋_GB2312"/>
              </w:rPr>
            </w:pP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lang w:eastAsia="zh-CN"/>
              </w:rPr>
              <w:t>投标产品</w:t>
            </w:r>
            <w:r>
              <w:rPr>
                <w:rFonts w:hint="eastAsia" w:ascii="仿宋_GB2312" w:eastAsia="仿宋_GB2312"/>
              </w:rPr>
              <w:t>零配件价格表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hAnsiTheme="minorEastAsia"/>
              </w:rPr>
              <w:t>备注</w:t>
            </w: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pageBreakBefore w:val="0"/>
        <w:kinsoku/>
        <w:wordWrap/>
        <w:overflowPunct/>
        <w:topLinePunct w:val="0"/>
        <w:bidi w:val="0"/>
        <w:spacing w:line="240" w:lineRule="auto"/>
        <w:rPr>
          <w:rFonts w:hint="eastAsia"/>
          <w:lang w:eastAsia="zh-CN"/>
        </w:rPr>
      </w:pPr>
      <w:bookmarkStart w:id="32" w:name="_Toc10823_WPSOffice_Level1"/>
      <w:r>
        <w:rPr>
          <w:rFonts w:hint="eastAsia"/>
          <w:lang w:eastAsia="zh-CN"/>
        </w:rPr>
        <w:t>第四章　报名表及</w:t>
      </w:r>
      <w:r>
        <w:rPr>
          <w:rFonts w:hint="eastAsia"/>
        </w:rPr>
        <w:t>投标文件格</w:t>
      </w:r>
      <w:r>
        <w:rPr>
          <w:rFonts w:hint="eastAsia"/>
          <w:lang w:eastAsia="zh-CN"/>
        </w:rPr>
        <w:t>式</w:t>
      </w:r>
      <w:bookmarkEnd w:id="32"/>
    </w:p>
    <w:p>
      <w:pPr>
        <w:pageBreakBefore w:val="0"/>
        <w:kinsoku/>
        <w:wordWrap/>
        <w:overflowPunct/>
        <w:topLinePunct w:val="0"/>
        <w:bidi w:val="0"/>
        <w:spacing w:line="240" w:lineRule="auto"/>
        <w:rPr>
          <w:rFonts w:hint="eastAsia" w:ascii="仿宋_GB2312" w:hAnsi="仿宋_GB2312" w:eastAsia="仿宋_GB2312" w:cs="仿宋_GB2312"/>
          <w:sz w:val="24"/>
          <w:szCs w:val="24"/>
          <w:lang w:eastAsia="zh-CN"/>
        </w:rPr>
      </w:pPr>
      <w:bookmarkStart w:id="33" w:name="_Toc10395_WPSOffice_Level1"/>
      <w:r>
        <w:rPr>
          <w:rFonts w:hint="eastAsia" w:ascii="仿宋_GB2312" w:hAnsi="仿宋_GB2312" w:eastAsia="仿宋_GB2312" w:cs="仿宋_GB2312"/>
          <w:sz w:val="24"/>
          <w:szCs w:val="24"/>
          <w:lang w:eastAsia="zh-CN"/>
        </w:rPr>
        <w:t>格式</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：报名表</w:t>
      </w:r>
      <w:bookmarkEnd w:id="33"/>
    </w:p>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台式灭菌器等医用设备采购项目</w:t>
      </w:r>
    </w:p>
    <w:tbl>
      <w:tblPr>
        <w:tblStyle w:val="20"/>
        <w:tblW w:w="821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7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304"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87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2258" w:type="dxa"/>
            <w:vAlign w:val="center"/>
          </w:tcPr>
          <w:p>
            <w:pPr>
              <w:pageBreakBefore w:val="0"/>
              <w:kinsoku/>
              <w:wordWrap/>
              <w:overflowPunct/>
              <w:topLinePunct w:val="0"/>
              <w:bidi w:val="0"/>
              <w:spacing w:line="240" w:lineRule="auto"/>
              <w:jc w:val="center"/>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bl>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p>
    <w:p>
      <w:pPr>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pageBreakBefore w:val="0"/>
        <w:kinsoku/>
        <w:wordWrap/>
        <w:overflowPunct/>
        <w:topLinePunct w:val="0"/>
        <w:bidi w:val="0"/>
        <w:spacing w:line="240" w:lineRule="auto"/>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pageBreakBefore w:val="0"/>
        <w:widowControl/>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pageBreakBefore w:val="0"/>
        <w:widowControl/>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ageBreakBefore w:val="0"/>
        <w:tabs>
          <w:tab w:val="left" w:pos="900"/>
        </w:tabs>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bookmarkStart w:id="34" w:name="_Toc898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lang w:eastAsia="zh-CN"/>
        </w:rPr>
        <w:t>：封面</w:t>
      </w:r>
      <w:bookmarkEnd w:id="34"/>
    </w:p>
    <w:p>
      <w:pPr>
        <w:pageBreakBefore w:val="0"/>
        <w:kinsoku/>
        <w:wordWrap/>
        <w:overflowPunct/>
        <w:topLinePunct w:val="0"/>
        <w:bidi w:val="0"/>
        <w:spacing w:line="24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rPr>
          <w:rFonts w:hint="eastAsia" w:ascii="仿宋_GB2312" w:hAnsi="仿宋_GB2312" w:eastAsia="仿宋_GB2312" w:cs="仿宋_GB2312"/>
          <w:sz w:val="44"/>
          <w:szCs w:val="44"/>
        </w:rPr>
      </w:pPr>
    </w:p>
    <w:p>
      <w:pPr>
        <w:pageBreakBefore w:val="0"/>
        <w:kinsoku/>
        <w:wordWrap/>
        <w:overflowPunct/>
        <w:topLinePunct w:val="0"/>
        <w:bidi w:val="0"/>
        <w:spacing w:line="24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pageBreakBefore w:val="0"/>
        <w:kinsoku/>
        <w:wordWrap/>
        <w:overflowPunct/>
        <w:topLinePunct w:val="0"/>
        <w:bidi w:val="0"/>
        <w:spacing w:line="240" w:lineRule="auto"/>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eastAsia="zh-CN"/>
        </w:rPr>
      </w:pPr>
      <w:bookmarkStart w:id="35" w:name="_Toc2263_WPSOffice_Level1"/>
      <w:r>
        <w:rPr>
          <w:rFonts w:hint="eastAsia" w:ascii="仿宋_GB2312" w:hAnsi="仿宋_GB2312" w:eastAsia="仿宋_GB2312" w:cs="仿宋_GB2312"/>
          <w:sz w:val="24"/>
          <w:szCs w:val="24"/>
          <w:lang w:eastAsia="zh-CN"/>
        </w:rPr>
        <w:t>格式</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：目录</w:t>
      </w:r>
      <w:bookmarkEnd w:id="35"/>
    </w:p>
    <w:p>
      <w:pPr>
        <w:pStyle w:val="2"/>
        <w:pageBreakBefore w:val="0"/>
        <w:kinsoku/>
        <w:wordWrap/>
        <w:overflowPunct/>
        <w:topLinePunct w:val="0"/>
        <w:bidi w:val="0"/>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pageBreakBefore w:val="0"/>
        <w:kinsoku/>
        <w:wordWrap/>
        <w:overflowPunct/>
        <w:topLinePunct w:val="0"/>
        <w:bidi w:val="0"/>
        <w:spacing w:line="240" w:lineRule="auto"/>
        <w:jc w:val="center"/>
        <w:rPr>
          <w:rFonts w:hint="eastAsia" w:ascii="仿宋_GB2312" w:hAnsi="仿宋_GB2312" w:eastAsia="仿宋_GB2312" w:cs="仿宋_GB2312"/>
          <w:sz w:val="24"/>
          <w:szCs w:val="24"/>
          <w:lang w:eastAsia="zh-CN"/>
        </w:rPr>
      </w:pP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2.投标产品零配件价格表......................................X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3.投标应答表................................................X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4.法定代表人/单位负责人授权书...............................X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5.承诺函....................................................X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6.投标人基本情况表..........................................X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7.投标人资质................................................X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8.投标项目销售资格授权......................................X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9.生产商资质................................................X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11.采购要求的其他资料.......................................X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p>
    <w:p>
      <w:pPr>
        <w:pageBreakBefore w:val="0"/>
        <w:kinsoku/>
        <w:wordWrap/>
        <w:overflowPunct/>
        <w:topLinePunct w:val="0"/>
        <w:bidi w:val="0"/>
        <w:spacing w:line="24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bookmarkStart w:id="36" w:name="_Toc12202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4.1</w:t>
      </w:r>
      <w:r>
        <w:rPr>
          <w:rFonts w:hint="eastAsia" w:ascii="仿宋_GB2312" w:hAnsi="仿宋_GB2312" w:eastAsia="仿宋_GB2312" w:cs="仿宋_GB2312"/>
          <w:b w:val="0"/>
          <w:bCs/>
          <w:sz w:val="24"/>
          <w:szCs w:val="24"/>
          <w:lang w:eastAsia="zh-CN"/>
        </w:rPr>
        <w:t>：开标一览表</w:t>
      </w:r>
      <w:bookmarkEnd w:id="36"/>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7" w:name="_Toc217446085"/>
      <w:r>
        <w:rPr>
          <w:rFonts w:hint="eastAsia" w:ascii="仿宋_GB2312" w:hAnsi="仿宋_GB2312" w:eastAsia="仿宋_GB2312" w:cs="仿宋_GB2312"/>
          <w:b w:val="0"/>
          <w:bCs/>
          <w:sz w:val="24"/>
          <w:szCs w:val="24"/>
        </w:rPr>
        <w:t>开标一览表</w:t>
      </w:r>
      <w:bookmarkEnd w:id="3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台式灭菌器等医用设备采购项目</w:t>
      </w:r>
    </w:p>
    <w:tbl>
      <w:tblPr>
        <w:tblStyle w:val="20"/>
        <w:tblW w:w="8624"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15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72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3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479" w:type="dxa"/>
            <w:vAlign w:val="center"/>
          </w:tcPr>
          <w:p>
            <w:pPr>
              <w:pageBreakBefore w:val="0"/>
              <w:kinsoku/>
              <w:wordWrap/>
              <w:overflowPunct/>
              <w:topLinePunct w:val="0"/>
              <w:bidi w:val="0"/>
              <w:spacing w:line="240" w:lineRule="auto"/>
              <w:jc w:val="center"/>
              <w:rPr>
                <w:rFonts w:hint="eastAsia" w:ascii="仿宋_GB2312" w:eastAsia="仿宋_GB2312"/>
                <w:sz w:val="21"/>
                <w:szCs w:val="21"/>
                <w:lang w:eastAsia="zh-CN"/>
              </w:rPr>
            </w:pP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895"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88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br w:type="page"/>
      </w:r>
    </w:p>
    <w:p>
      <w:pPr>
        <w:widowControl/>
        <w:jc w:val="left"/>
        <w:rPr>
          <w:rFonts w:hint="eastAsia" w:ascii="仿宋_GB2312" w:hAnsi="仿宋_GB2312" w:eastAsia="仿宋_GB2312" w:cs="仿宋_GB2312"/>
          <w:b w:val="0"/>
          <w:bCs/>
          <w:kern w:val="0"/>
          <w:sz w:val="24"/>
        </w:rPr>
      </w:pPr>
      <w:bookmarkStart w:id="38" w:name="_Toc27624_WPSOffice_Level1"/>
      <w:r>
        <w:rPr>
          <w:rFonts w:hint="eastAsia" w:ascii="仿宋_GB2312" w:hAnsi="仿宋_GB2312" w:eastAsia="仿宋_GB2312" w:cs="仿宋_GB2312"/>
          <w:b w:val="0"/>
          <w:bCs/>
          <w:kern w:val="0"/>
          <w:sz w:val="24"/>
          <w:lang w:eastAsia="zh-CN"/>
        </w:rPr>
        <w:t>格式</w:t>
      </w:r>
      <w:r>
        <w:rPr>
          <w:rFonts w:hint="eastAsia" w:ascii="仿宋_GB2312" w:hAnsi="仿宋_GB2312" w:eastAsia="仿宋_GB2312" w:cs="仿宋_GB2312"/>
          <w:b w:val="0"/>
          <w:bCs/>
          <w:kern w:val="0"/>
          <w:sz w:val="24"/>
          <w:lang w:val="en-US" w:eastAsia="zh-CN"/>
        </w:rPr>
        <w:t>4.2</w:t>
      </w: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rPr>
        <w:t>零配件价格表</w:t>
      </w:r>
      <w:bookmarkEnd w:id="38"/>
    </w:p>
    <w:p>
      <w:pPr>
        <w:widowControl/>
        <w:jc w:val="left"/>
        <w:rPr>
          <w:rFonts w:hint="eastAsia" w:ascii="仿宋_GB2312" w:hAnsi="仿宋_GB2312" w:eastAsia="仿宋_GB2312" w:cs="仿宋_GB2312"/>
          <w:b w:val="0"/>
          <w:bCs/>
          <w:kern w:val="0"/>
          <w:sz w:val="24"/>
          <w:lang w:val="en-US" w:eastAsia="zh-CN"/>
        </w:rPr>
      </w:pPr>
    </w:p>
    <w:p>
      <w:pPr>
        <w:widowControl/>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u w:val="single"/>
          <w:lang w:eastAsia="zh-CN"/>
        </w:rPr>
        <w:t>　　　</w:t>
      </w:r>
      <w:r>
        <w:rPr>
          <w:rFonts w:hint="eastAsia" w:ascii="仿宋_GB2312" w:hAnsi="仿宋_GB2312" w:eastAsia="仿宋_GB2312" w:cs="仿宋_GB2312"/>
          <w:b w:val="0"/>
          <w:bCs/>
          <w:kern w:val="0"/>
          <w:sz w:val="24"/>
        </w:rPr>
        <w:t>零配件价格表</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Style w:val="2"/>
        <w:rPr>
          <w:rFonts w:hint="eastAsia" w:eastAsia="仿宋_GB2312"/>
          <w:lang w:eastAsia="zh-CN"/>
        </w:rPr>
      </w:pPr>
      <w:r>
        <w:rPr>
          <w:rFonts w:hint="eastAsia" w:ascii="仿宋_GB2312" w:hAnsi="仿宋_GB2312" w:eastAsia="仿宋_GB2312" w:cs="仿宋_GB2312"/>
          <w:sz w:val="24"/>
          <w:szCs w:val="24"/>
          <w:lang w:eastAsia="zh-CN"/>
        </w:rPr>
        <w:t>　　生产公司名称：</w:t>
      </w:r>
      <w:r>
        <w:rPr>
          <w:rFonts w:hint="eastAsia" w:ascii="仿宋_GB2312" w:hAnsi="仿宋_GB2312" w:eastAsia="仿宋_GB2312" w:cs="仿宋_GB2312"/>
          <w:sz w:val="24"/>
          <w:szCs w:val="24"/>
        </w:rPr>
        <w:t>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备注</w:t>
      </w:r>
      <w:r>
        <w:rPr>
          <w:rFonts w:hint="eastAsia" w:ascii="仿宋_GB2312" w:hAnsi="仿宋_GB2312" w:eastAsia="仿宋_GB2312" w:cs="仿宋_GB2312"/>
          <w:b w:val="0"/>
          <w:bCs/>
          <w:sz w:val="24"/>
          <w:szCs w:val="24"/>
        </w:rPr>
        <w:t>：投标人如实填写</w:t>
      </w:r>
      <w:r>
        <w:rPr>
          <w:rFonts w:hint="eastAsia" w:ascii="仿宋_GB2312" w:hAnsi="仿宋_GB2312" w:eastAsia="仿宋_GB2312" w:cs="仿宋_GB2312"/>
          <w:b w:val="0"/>
          <w:bCs/>
          <w:sz w:val="24"/>
          <w:szCs w:val="24"/>
          <w:lang w:eastAsia="zh-CN"/>
        </w:rPr>
        <w:t>《投标产品</w:t>
      </w:r>
      <w:r>
        <w:rPr>
          <w:rFonts w:hint="eastAsia" w:ascii="仿宋_GB2312" w:hAnsi="仿宋_GB2312" w:eastAsia="仿宋_GB2312" w:cs="仿宋_GB2312"/>
          <w:b w:val="0"/>
          <w:bCs/>
          <w:sz w:val="24"/>
          <w:szCs w:val="24"/>
          <w:u w:val="single"/>
          <w:lang w:val="en-US" w:eastAsia="zh-CN"/>
        </w:rPr>
        <w:t>　　　</w:t>
      </w:r>
      <w:r>
        <w:rPr>
          <w:rFonts w:hint="eastAsia" w:ascii="仿宋_GB2312" w:hAnsi="仿宋_GB2312" w:eastAsia="仿宋_GB2312" w:cs="仿宋_GB2312"/>
          <w:b w:val="0"/>
          <w:bCs/>
          <w:kern w:val="0"/>
          <w:sz w:val="24"/>
        </w:rPr>
        <w:t>零配件价格表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，填</w:t>
      </w:r>
      <w:r>
        <w:rPr>
          <w:rFonts w:hint="eastAsia" w:ascii="仿宋_GB2312" w:hAnsi="仿宋_GB2312" w:eastAsia="仿宋_GB2312" w:cs="仿宋_GB2312"/>
          <w:b w:val="0"/>
          <w:bCs/>
          <w:sz w:val="24"/>
          <w:szCs w:val="24"/>
          <w:lang w:eastAsia="zh-CN"/>
        </w:rPr>
        <w:t>写</w:t>
      </w:r>
      <w:r>
        <w:rPr>
          <w:rFonts w:hint="eastAsia" w:ascii="仿宋_GB2312" w:hAnsi="仿宋_GB2312" w:eastAsia="仿宋_GB2312" w:cs="仿宋_GB2312"/>
          <w:b w:val="0"/>
          <w:bCs/>
          <w:sz w:val="24"/>
          <w:szCs w:val="24"/>
        </w:rPr>
        <w:t>的</w:t>
      </w:r>
      <w:r>
        <w:rPr>
          <w:rFonts w:hint="eastAsia" w:ascii="仿宋_GB2312" w:hAnsi="仿宋_GB2312" w:eastAsia="仿宋_GB2312" w:cs="仿宋_GB2312"/>
          <w:b w:val="0"/>
          <w:bCs/>
          <w:sz w:val="24"/>
          <w:szCs w:val="24"/>
          <w:lang w:eastAsia="zh-CN"/>
        </w:rPr>
        <w:t>零配件价格</w:t>
      </w:r>
      <w:r>
        <w:rPr>
          <w:rFonts w:hint="eastAsia" w:ascii="仿宋_GB2312" w:hAnsi="仿宋_GB2312" w:eastAsia="仿宋_GB2312" w:cs="仿宋_GB2312"/>
          <w:b w:val="0"/>
          <w:bCs/>
          <w:sz w:val="24"/>
          <w:szCs w:val="24"/>
        </w:rPr>
        <w:t>仅作为</w:t>
      </w:r>
      <w:r>
        <w:rPr>
          <w:rFonts w:hint="eastAsia" w:ascii="仿宋_GB2312" w:hAnsi="仿宋_GB2312" w:eastAsia="仿宋_GB2312" w:cs="仿宋_GB2312"/>
          <w:b w:val="0"/>
          <w:bCs/>
          <w:sz w:val="24"/>
          <w:szCs w:val="24"/>
          <w:lang w:eastAsia="zh-CN"/>
        </w:rPr>
        <w:t>投标产品在质保期外</w:t>
      </w:r>
      <w:r>
        <w:rPr>
          <w:rFonts w:hint="eastAsia" w:ascii="仿宋_GB2312" w:hAnsi="仿宋_GB2312" w:eastAsia="仿宋_GB2312" w:cs="仿宋_GB2312"/>
          <w:b w:val="0"/>
          <w:bCs/>
          <w:sz w:val="24"/>
          <w:szCs w:val="24"/>
        </w:rPr>
        <w:t>维修时</w:t>
      </w:r>
      <w:r>
        <w:rPr>
          <w:rFonts w:hint="eastAsia" w:ascii="仿宋_GB2312" w:hAnsi="仿宋_GB2312" w:eastAsia="仿宋_GB2312" w:cs="仿宋_GB2312"/>
          <w:b w:val="0"/>
          <w:bCs/>
          <w:sz w:val="24"/>
          <w:szCs w:val="24"/>
          <w:lang w:eastAsia="zh-CN"/>
        </w:rPr>
        <w:t>更换</w:t>
      </w:r>
      <w:r>
        <w:rPr>
          <w:rFonts w:hint="eastAsia" w:ascii="仿宋_GB2312" w:hAnsi="仿宋_GB2312" w:eastAsia="仿宋_GB2312" w:cs="仿宋_GB2312"/>
          <w:b w:val="0"/>
          <w:bCs/>
          <w:kern w:val="0"/>
          <w:sz w:val="24"/>
        </w:rPr>
        <w:t>零配件</w:t>
      </w:r>
      <w:r>
        <w:rPr>
          <w:rFonts w:hint="eastAsia" w:ascii="仿宋_GB2312" w:hAnsi="仿宋_GB2312" w:eastAsia="仿宋_GB2312" w:cs="仿宋_GB2312"/>
          <w:b w:val="0"/>
          <w:bCs/>
          <w:kern w:val="0"/>
          <w:sz w:val="24"/>
          <w:lang w:eastAsia="zh-CN"/>
        </w:rPr>
        <w:t>的</w:t>
      </w:r>
      <w:r>
        <w:rPr>
          <w:rFonts w:hint="eastAsia" w:ascii="仿宋_GB2312" w:hAnsi="仿宋_GB2312" w:eastAsia="仿宋_GB2312" w:cs="仿宋_GB2312"/>
          <w:b w:val="0"/>
          <w:bCs/>
          <w:sz w:val="24"/>
          <w:szCs w:val="24"/>
        </w:rPr>
        <w:t>参考价格，</w:t>
      </w:r>
      <w:r>
        <w:rPr>
          <w:rFonts w:hint="eastAsia" w:ascii="仿宋_GB2312" w:hAnsi="仿宋_GB2312" w:eastAsia="仿宋_GB2312" w:cs="仿宋_GB2312"/>
          <w:b w:val="0"/>
          <w:bCs/>
          <w:sz w:val="24"/>
          <w:szCs w:val="24"/>
          <w:lang w:eastAsia="zh-CN"/>
        </w:rPr>
        <w:t>若有</w:t>
      </w:r>
      <w:r>
        <w:rPr>
          <w:rFonts w:hint="eastAsia" w:ascii="仿宋_GB2312" w:hAnsi="仿宋_GB2312" w:eastAsia="仿宋_GB2312" w:cs="仿宋_GB2312"/>
          <w:b w:val="0"/>
          <w:bCs/>
          <w:sz w:val="24"/>
          <w:szCs w:val="24"/>
        </w:rPr>
        <w:t>未填报</w:t>
      </w:r>
      <w:r>
        <w:rPr>
          <w:rFonts w:hint="eastAsia" w:ascii="仿宋_GB2312" w:hAnsi="仿宋_GB2312" w:eastAsia="仿宋_GB2312" w:cs="仿宋_GB2312"/>
          <w:b w:val="0"/>
          <w:bCs/>
          <w:sz w:val="24"/>
          <w:szCs w:val="24"/>
          <w:lang w:eastAsia="zh-CN"/>
        </w:rPr>
        <w:t>的投标</w:t>
      </w:r>
      <w:r>
        <w:rPr>
          <w:rFonts w:hint="eastAsia" w:ascii="仿宋_GB2312" w:hAnsi="仿宋_GB2312" w:eastAsia="仿宋_GB2312" w:cs="仿宋_GB2312"/>
          <w:b w:val="0"/>
          <w:bCs/>
          <w:sz w:val="24"/>
          <w:szCs w:val="24"/>
        </w:rPr>
        <w:t>产品零配件则由</w:t>
      </w:r>
      <w:r>
        <w:rPr>
          <w:rFonts w:hint="eastAsia" w:ascii="仿宋_GB2312" w:hAnsi="仿宋_GB2312" w:eastAsia="仿宋_GB2312" w:cs="仿宋_GB2312"/>
          <w:b w:val="0"/>
          <w:bCs/>
          <w:sz w:val="24"/>
          <w:szCs w:val="24"/>
          <w:lang w:eastAsia="zh-CN"/>
        </w:rPr>
        <w:t>投标人或生产公司</w:t>
      </w:r>
      <w:r>
        <w:rPr>
          <w:rFonts w:hint="eastAsia" w:ascii="仿宋_GB2312" w:hAnsi="仿宋_GB2312" w:eastAsia="仿宋_GB2312" w:cs="仿宋_GB2312"/>
          <w:b w:val="0"/>
          <w:bCs/>
          <w:sz w:val="24"/>
          <w:szCs w:val="24"/>
        </w:rPr>
        <w:t>免费提供</w:t>
      </w:r>
      <w:r>
        <w:rPr>
          <w:rFonts w:hint="eastAsia" w:ascii="仿宋_GB2312" w:hAnsi="仿宋_GB2312" w:eastAsia="仿宋_GB2312" w:cs="仿宋_GB2312"/>
          <w:b w:val="0"/>
          <w:bCs/>
          <w:sz w:val="24"/>
          <w:szCs w:val="24"/>
          <w:lang w:eastAsia="zh-CN"/>
        </w:rPr>
        <w:t>（需投标人及生产公司盖章）</w:t>
      </w:r>
      <w:r>
        <w:rPr>
          <w:rFonts w:hint="eastAsia" w:ascii="仿宋_GB2312" w:hAnsi="仿宋_GB2312" w:eastAsia="仿宋_GB2312" w:cs="仿宋_GB2312"/>
          <w:b w:val="0"/>
          <w:bCs/>
          <w:sz w:val="24"/>
          <w:szCs w:val="24"/>
        </w:rPr>
        <w:t>。</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br w:type="page"/>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lang w:eastAsia="zh-CN"/>
        </w:rPr>
      </w:pPr>
      <w:bookmarkStart w:id="39" w:name="_Toc25983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4.3</w:t>
      </w:r>
      <w:r>
        <w:rPr>
          <w:rFonts w:hint="eastAsia" w:ascii="仿宋_GB2312" w:hAnsi="仿宋_GB2312" w:eastAsia="仿宋_GB2312" w:cs="仿宋_GB2312"/>
          <w:b w:val="0"/>
          <w:bCs/>
          <w:sz w:val="24"/>
          <w:szCs w:val="24"/>
          <w:lang w:eastAsia="zh-CN"/>
        </w:rPr>
        <w:t>：投标应答表</w:t>
      </w:r>
      <w:bookmarkEnd w:id="39"/>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bl>
    <w:p>
      <w:pPr>
        <w:pStyle w:val="2"/>
        <w:pageBreakBefore w:val="0"/>
        <w:kinsoku/>
        <w:wordWrap/>
        <w:overflowPunct/>
        <w:topLinePunct w:val="0"/>
        <w:bidi w:val="0"/>
        <w:spacing w:line="240" w:lineRule="auto"/>
        <w:rPr>
          <w:rFonts w:hint="eastAsia" w:ascii="仿宋_GB2312" w:hAnsi="仿宋_GB2312" w:eastAsia="仿宋_GB2312" w:cs="仿宋_GB2312"/>
          <w:b/>
          <w:sz w:val="24"/>
          <w:szCs w:val="24"/>
        </w:rPr>
      </w:pPr>
    </w:p>
    <w:p>
      <w:pPr>
        <w:pStyle w:val="2"/>
        <w:pageBreakBefore w:val="0"/>
        <w:kinsoku/>
        <w:wordWrap/>
        <w:overflowPunct/>
        <w:topLinePunct w:val="0"/>
        <w:bidi w:val="0"/>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pageBreakBefore w:val="0"/>
        <w:kinsoku/>
        <w:wordWrap/>
        <w:overflowPunct/>
        <w:topLinePunct w:val="0"/>
        <w:bidi w:val="0"/>
        <w:spacing w:line="240" w:lineRule="auto"/>
        <w:jc w:val="left"/>
        <w:rPr>
          <w:rFonts w:hint="eastAsia" w:ascii="仿宋_GB2312" w:hAnsi="仿宋_GB2312" w:eastAsia="仿宋_GB2312" w:cs="仿宋_GB2312"/>
          <w:b w:val="0"/>
          <w:bCs/>
          <w:sz w:val="24"/>
          <w:szCs w:val="24"/>
        </w:rPr>
      </w:pPr>
      <w:bookmarkStart w:id="40" w:name="_Toc27770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4.4</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法定代表人/单位负责人授权书</w:t>
      </w:r>
      <w:bookmarkEnd w:id="40"/>
    </w:p>
    <w:p>
      <w:pPr>
        <w:pageBreakBefore w:val="0"/>
        <w:widowControl/>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p>
    <w:p>
      <w:pPr>
        <w:pageBreakBefore w:val="0"/>
        <w:kinsoku/>
        <w:wordWrap/>
        <w:overflowPunct/>
        <w:topLinePunct w:val="0"/>
        <w:bidi w:val="0"/>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sz w:val="24"/>
          <w:szCs w:val="24"/>
        </w:rPr>
      </w:pP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sz w:val="24"/>
          <w:szCs w:val="24"/>
        </w:rPr>
      </w:pPr>
      <w:bookmarkStart w:id="41" w:name="_Toc217446084"/>
    </w:p>
    <w:p>
      <w:pPr>
        <w:pageBreakBefore w:val="0"/>
        <w:kinsoku/>
        <w:wordWrap/>
        <w:overflowPunct/>
        <w:topLinePunct w:val="0"/>
        <w:bidi w:val="0"/>
        <w:spacing w:line="240" w:lineRule="auto"/>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41"/>
    </w:p>
    <w:p>
      <w:pPr>
        <w:pageBreakBefore w:val="0"/>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bookmarkStart w:id="42" w:name="_Toc16440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4.5</w:t>
      </w:r>
      <w:r>
        <w:rPr>
          <w:rFonts w:hint="eastAsia" w:ascii="仿宋_GB2312" w:hAnsi="仿宋_GB2312" w:eastAsia="仿宋_GB2312" w:cs="仿宋_GB2312"/>
          <w:b w:val="0"/>
          <w:bCs/>
          <w:sz w:val="24"/>
          <w:szCs w:val="24"/>
          <w:lang w:eastAsia="zh-CN"/>
        </w:rPr>
        <w:t>：承诺函</w:t>
      </w:r>
      <w:bookmarkEnd w:id="42"/>
    </w:p>
    <w:p>
      <w:pPr>
        <w:pageBreakBefore w:val="0"/>
        <w:kinsoku/>
        <w:wordWrap/>
        <w:overflowPunct/>
        <w:topLinePunct w:val="0"/>
        <w:bidi w:val="0"/>
        <w:spacing w:line="240" w:lineRule="auto"/>
        <w:jc w:val="center"/>
        <w:rPr>
          <w:rFonts w:hint="eastAsia" w:ascii="仿宋_GB2312" w:hAnsi="仿宋_GB2312" w:eastAsia="仿宋_GB2312" w:cs="仿宋_GB2312"/>
          <w:b/>
          <w:sz w:val="24"/>
          <w:szCs w:val="24"/>
        </w:rPr>
      </w:pPr>
      <w:bookmarkStart w:id="43" w:name="_Toc32543_WPSOffice_Level1"/>
      <w:r>
        <w:rPr>
          <w:rFonts w:hint="eastAsia" w:ascii="仿宋_GB2312" w:hAnsi="仿宋_GB2312" w:eastAsia="仿宋_GB2312" w:cs="仿宋_GB2312"/>
          <w:b/>
          <w:sz w:val="24"/>
          <w:szCs w:val="24"/>
        </w:rPr>
        <w:t>承诺函</w:t>
      </w:r>
      <w:bookmarkEnd w:id="43"/>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sz w:val="24"/>
          <w:szCs w:val="24"/>
        </w:rPr>
      </w:pP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4" w:name="_Toc30581_WPSOffice_Level1"/>
      <w:r>
        <w:rPr>
          <w:rFonts w:hint="eastAsia" w:ascii="仿宋_GB2312" w:hAnsi="仿宋_GB2312" w:eastAsia="仿宋_GB2312" w:cs="仿宋_GB2312"/>
          <w:sz w:val="24"/>
          <w:szCs w:val="24"/>
        </w:rPr>
        <w:t>（一）具有独立承担民事责任的能力；</w:t>
      </w:r>
      <w:bookmarkEnd w:id="44"/>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5" w:name="_Toc1285_WPSOffice_Level1"/>
      <w:r>
        <w:rPr>
          <w:rFonts w:hint="eastAsia" w:ascii="仿宋_GB2312" w:hAnsi="仿宋_GB2312" w:eastAsia="仿宋_GB2312" w:cs="仿宋_GB2312"/>
          <w:sz w:val="24"/>
          <w:szCs w:val="24"/>
        </w:rPr>
        <w:t>（二）具有良好的商业信誉和健全的财务会计制度；</w:t>
      </w:r>
      <w:bookmarkEnd w:id="45"/>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6" w:name="_Toc30603_WPSOffice_Level1"/>
      <w:r>
        <w:rPr>
          <w:rFonts w:hint="eastAsia" w:ascii="仿宋_GB2312" w:hAnsi="仿宋_GB2312" w:eastAsia="仿宋_GB2312" w:cs="仿宋_GB2312"/>
          <w:sz w:val="24"/>
          <w:szCs w:val="24"/>
        </w:rPr>
        <w:t>（三）具有履行合同所必需的耗材和专业技术能力；</w:t>
      </w:r>
      <w:bookmarkEnd w:id="46"/>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7" w:name="_Toc4485_WPSOffice_Level1"/>
      <w:r>
        <w:rPr>
          <w:rFonts w:hint="eastAsia" w:ascii="仿宋_GB2312" w:hAnsi="仿宋_GB2312" w:eastAsia="仿宋_GB2312" w:cs="仿宋_GB2312"/>
          <w:sz w:val="24"/>
          <w:szCs w:val="24"/>
        </w:rPr>
        <w:t>（四）有依法缴纳税收和社会保障资金的良好记录；</w:t>
      </w:r>
      <w:bookmarkEnd w:id="47"/>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8" w:name="_Toc25960_WPSOffice_Level1"/>
      <w:r>
        <w:rPr>
          <w:rFonts w:hint="eastAsia" w:ascii="仿宋_GB2312" w:hAnsi="仿宋_GB2312" w:eastAsia="仿宋_GB2312" w:cs="仿宋_GB2312"/>
          <w:sz w:val="24"/>
          <w:szCs w:val="24"/>
        </w:rPr>
        <w:t>（五）参加采购活动前三年内，在经营活动中没有重大违法记录；</w:t>
      </w:r>
      <w:bookmarkEnd w:id="48"/>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49" w:name="_Toc24832_WPSOffice_Level1"/>
      <w:r>
        <w:rPr>
          <w:rFonts w:hint="eastAsia" w:ascii="仿宋_GB2312" w:hAnsi="仿宋_GB2312" w:eastAsia="仿宋_GB2312" w:cs="仿宋_GB2312"/>
          <w:sz w:val="24"/>
          <w:szCs w:val="24"/>
        </w:rPr>
        <w:t>（六）法律、行政法规规定的其他条件；</w:t>
      </w:r>
      <w:bookmarkEnd w:id="49"/>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50" w:name="_Toc12897_WPSOffice_Level1"/>
      <w:r>
        <w:rPr>
          <w:rFonts w:hint="eastAsia" w:ascii="仿宋_GB2312" w:hAnsi="仿宋_GB2312" w:eastAsia="仿宋_GB2312" w:cs="仿宋_GB2312"/>
          <w:sz w:val="24"/>
          <w:szCs w:val="24"/>
        </w:rPr>
        <w:t>（七）根据采购项目提出的特殊条件。</w:t>
      </w:r>
      <w:bookmarkEnd w:id="50"/>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pageBreakBefore w:val="0"/>
        <w:widowControl/>
        <w:kinsoku/>
        <w:wordWrap/>
        <w:overflowPunct/>
        <w:topLinePunct w:val="0"/>
        <w:bidi w:val="0"/>
        <w:spacing w:line="240" w:lineRule="auto"/>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pageBreakBefore w:val="0"/>
        <w:kinsoku/>
        <w:wordWrap/>
        <w:overflowPunct/>
        <w:topLinePunct w:val="0"/>
        <w:bidi w:val="0"/>
        <w:spacing w:line="240" w:lineRule="auto"/>
        <w:rPr>
          <w:rFonts w:hint="eastAsia" w:ascii="仿宋_GB2312" w:hAnsi="仿宋_GB2312" w:eastAsia="仿宋_GB2312" w:cs="仿宋_GB2312"/>
          <w:b w:val="0"/>
          <w:bCs/>
          <w:sz w:val="24"/>
          <w:szCs w:val="24"/>
          <w:lang w:eastAsia="zh-CN"/>
        </w:rPr>
      </w:pPr>
      <w:bookmarkStart w:id="51" w:name="_Toc13294_WPSOffice_Level1"/>
      <w:bookmarkStart w:id="52"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4.6</w:t>
      </w:r>
      <w:r>
        <w:rPr>
          <w:rFonts w:hint="eastAsia" w:ascii="仿宋_GB2312" w:hAnsi="仿宋_GB2312" w:eastAsia="仿宋_GB2312" w:cs="仿宋_GB2312"/>
          <w:b w:val="0"/>
          <w:bCs/>
          <w:sz w:val="24"/>
          <w:szCs w:val="24"/>
          <w:lang w:eastAsia="zh-CN"/>
        </w:rPr>
        <w:t>：投标人情况表</w:t>
      </w:r>
      <w:bookmarkEnd w:id="51"/>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52"/>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Style w:val="16"/>
                            </w:rPr>
                          </w:pPr>
                          <w:r>
                            <w:fldChar w:fldCharType="begin"/>
                          </w:r>
                          <w:r>
                            <w:rPr>
                              <w:rStyle w:val="16"/>
                            </w:rPr>
                            <w:instrText xml:space="preserve">PAGE  </w:instrText>
                          </w:r>
                          <w:r>
                            <w:fldChar w:fldCharType="separate"/>
                          </w:r>
                          <w:r>
                            <w:rPr>
                              <w:rStyle w:val="16"/>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jc w:val="center"/>
                      <w:rPr>
                        <w:rStyle w:val="16"/>
                      </w:rPr>
                    </w:pPr>
                    <w:r>
                      <w:fldChar w:fldCharType="begin"/>
                    </w:r>
                    <w:r>
                      <w:rPr>
                        <w:rStyle w:val="16"/>
                      </w:rPr>
                      <w:instrText xml:space="preserve">PAGE  </w:instrText>
                    </w:r>
                    <w:r>
                      <w:fldChar w:fldCharType="separate"/>
                    </w:r>
                    <w:r>
                      <w:rPr>
                        <w:rStyle w:val="1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74</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1"/>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0B13D1"/>
    <w:rsid w:val="0D5039F1"/>
    <w:rsid w:val="0D5A1E98"/>
    <w:rsid w:val="0E6416B3"/>
    <w:rsid w:val="0F3232EA"/>
    <w:rsid w:val="0F6005AA"/>
    <w:rsid w:val="0FCC5BE4"/>
    <w:rsid w:val="102854E6"/>
    <w:rsid w:val="11C20CDA"/>
    <w:rsid w:val="14631B3A"/>
    <w:rsid w:val="16126D0C"/>
    <w:rsid w:val="16331E02"/>
    <w:rsid w:val="18836C21"/>
    <w:rsid w:val="1891387A"/>
    <w:rsid w:val="1905296B"/>
    <w:rsid w:val="198405CB"/>
    <w:rsid w:val="1D2221C0"/>
    <w:rsid w:val="1FD13655"/>
    <w:rsid w:val="20874A11"/>
    <w:rsid w:val="20EF5935"/>
    <w:rsid w:val="23C74069"/>
    <w:rsid w:val="23F15E6E"/>
    <w:rsid w:val="244C6CAC"/>
    <w:rsid w:val="25833166"/>
    <w:rsid w:val="280E7B48"/>
    <w:rsid w:val="2996474C"/>
    <w:rsid w:val="2B106C7F"/>
    <w:rsid w:val="2D6B6A8F"/>
    <w:rsid w:val="2DD21197"/>
    <w:rsid w:val="32536FD3"/>
    <w:rsid w:val="32720D7F"/>
    <w:rsid w:val="33CB6621"/>
    <w:rsid w:val="34FF0B5C"/>
    <w:rsid w:val="38965316"/>
    <w:rsid w:val="3A632565"/>
    <w:rsid w:val="3B7A7C9F"/>
    <w:rsid w:val="3BFC01EF"/>
    <w:rsid w:val="3D1F7B5B"/>
    <w:rsid w:val="433E11C8"/>
    <w:rsid w:val="44E02E01"/>
    <w:rsid w:val="44E96280"/>
    <w:rsid w:val="46801FBD"/>
    <w:rsid w:val="46AA3511"/>
    <w:rsid w:val="470D2A02"/>
    <w:rsid w:val="47162FEE"/>
    <w:rsid w:val="47203FB7"/>
    <w:rsid w:val="476C749F"/>
    <w:rsid w:val="4824133D"/>
    <w:rsid w:val="497824CD"/>
    <w:rsid w:val="4C8F175C"/>
    <w:rsid w:val="505171B1"/>
    <w:rsid w:val="50DD6FFE"/>
    <w:rsid w:val="57AF56A8"/>
    <w:rsid w:val="5B7C0B95"/>
    <w:rsid w:val="5C8D1ED9"/>
    <w:rsid w:val="5D7F0CC2"/>
    <w:rsid w:val="631A1F65"/>
    <w:rsid w:val="64BF1D1B"/>
    <w:rsid w:val="65F838D3"/>
    <w:rsid w:val="66311611"/>
    <w:rsid w:val="68C903CB"/>
    <w:rsid w:val="69090096"/>
    <w:rsid w:val="6BF0276C"/>
    <w:rsid w:val="6CF407B5"/>
    <w:rsid w:val="71744923"/>
    <w:rsid w:val="71A21CC7"/>
    <w:rsid w:val="73C743D0"/>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Plain Text"/>
    <w:basedOn w:val="1"/>
    <w:qFormat/>
    <w:uiPriority w:val="0"/>
    <w:pPr>
      <w:widowControl/>
      <w:jc w:val="left"/>
    </w:pPr>
    <w:rPr>
      <w:rFonts w:ascii="Courier New" w:hAnsi="Courier New"/>
      <w:kern w:val="0"/>
      <w:sz w:val="20"/>
      <w:szCs w:val="20"/>
    </w:rPr>
  </w:style>
  <w:style w:type="paragraph" w:styleId="10">
    <w:name w:val="Balloon Text"/>
    <w:basedOn w:val="1"/>
    <w:link w:val="24"/>
    <w:semiHidden/>
    <w:unhideWhenUsed/>
    <w:qFormat/>
    <w:uiPriority w:val="99"/>
    <w:pPr>
      <w:spacing w:after="0" w:line="240" w:lineRule="auto"/>
    </w:pPr>
    <w:rPr>
      <w:sz w:val="18"/>
      <w:szCs w:val="18"/>
    </w:rPr>
  </w:style>
  <w:style w:type="paragraph" w:styleId="11">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link w:val="32"/>
    <w:qFormat/>
    <w:uiPriority w:val="39"/>
  </w:style>
  <w:style w:type="paragraph" w:styleId="14">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6">
    <w:name w:val="page number"/>
    <w:qFormat/>
    <w:uiPriority w:val="0"/>
  </w:style>
  <w:style w:type="character" w:styleId="17">
    <w:name w:val="FollowedHyperlink"/>
    <w:basedOn w:val="15"/>
    <w:semiHidden/>
    <w:unhideWhenUsed/>
    <w:qFormat/>
    <w:uiPriority w:val="99"/>
    <w:rPr>
      <w:color w:val="003399"/>
      <w:u w:val="none"/>
    </w:rPr>
  </w:style>
  <w:style w:type="character" w:styleId="18">
    <w:name w:val="Hyperlink"/>
    <w:basedOn w:val="15"/>
    <w:semiHidden/>
    <w:unhideWhenUsed/>
    <w:qFormat/>
    <w:uiPriority w:val="99"/>
    <w:rPr>
      <w:color w:val="0045AD"/>
      <w:u w:val="none"/>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页眉 Char"/>
    <w:basedOn w:val="15"/>
    <w:link w:val="12"/>
    <w:qFormat/>
    <w:uiPriority w:val="99"/>
    <w:rPr>
      <w:rFonts w:ascii="Calibri" w:hAnsi="Calibri" w:eastAsia="宋体" w:cs="Times New Roman"/>
      <w:sz w:val="18"/>
      <w:szCs w:val="18"/>
    </w:rPr>
  </w:style>
  <w:style w:type="character" w:customStyle="1" w:styleId="23">
    <w:name w:val="页脚 Char"/>
    <w:basedOn w:val="15"/>
    <w:link w:val="11"/>
    <w:semiHidden/>
    <w:qFormat/>
    <w:uiPriority w:val="99"/>
    <w:rPr>
      <w:rFonts w:ascii="Calibri" w:hAnsi="Calibri" w:eastAsia="宋体" w:cs="Times New Roman"/>
      <w:sz w:val="18"/>
      <w:szCs w:val="18"/>
    </w:rPr>
  </w:style>
  <w:style w:type="character" w:customStyle="1" w:styleId="24">
    <w:name w:val="批注框文本 Char"/>
    <w:basedOn w:val="15"/>
    <w:link w:val="10"/>
    <w:semiHidden/>
    <w:qFormat/>
    <w:uiPriority w:val="99"/>
    <w:rPr>
      <w:rFonts w:ascii="Calibri" w:hAnsi="Calibri" w:eastAsia="宋体" w:cs="Times New Roman"/>
      <w:sz w:val="18"/>
      <w:szCs w:val="18"/>
    </w:rPr>
  </w:style>
  <w:style w:type="character" w:customStyle="1" w:styleId="25">
    <w:name w:val="标题 3 Char"/>
    <w:basedOn w:val="15"/>
    <w:link w:val="5"/>
    <w:semiHidden/>
    <w:qFormat/>
    <w:uiPriority w:val="9"/>
    <w:rPr>
      <w:rFonts w:ascii="Calibri" w:hAnsi="Calibri" w:eastAsia="宋体" w:cs="Times New Roman"/>
      <w:b/>
      <w:bCs/>
      <w:sz w:val="32"/>
      <w:szCs w:val="32"/>
    </w:rPr>
  </w:style>
  <w:style w:type="character" w:customStyle="1" w:styleId="26">
    <w:name w:val="正文文本缩进 Char"/>
    <w:basedOn w:val="15"/>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5"/>
    <w:link w:val="3"/>
    <w:qFormat/>
    <w:uiPriority w:val="0"/>
    <w:rPr>
      <w:rFonts w:ascii="Calibri" w:hAnsi="Calibri" w:eastAsia="宋体" w:cs="Times New Roman"/>
      <w:b/>
      <w:bCs/>
      <w:kern w:val="44"/>
      <w:sz w:val="44"/>
      <w:szCs w:val="44"/>
    </w:rPr>
  </w:style>
  <w:style w:type="character" w:customStyle="1" w:styleId="29">
    <w:name w:val="标题 Char"/>
    <w:basedOn w:val="15"/>
    <w:link w:val="14"/>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3"/>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272eaf-5854-4aee-b8f8-66beff89fc39}"/>
        <w:style w:val=""/>
        <w:category>
          <w:name w:val="常规"/>
          <w:gallery w:val="placeholder"/>
        </w:category>
        <w:types>
          <w:type w:val="bbPlcHdr"/>
        </w:types>
        <w:behaviors>
          <w:behavior w:val="content"/>
        </w:behaviors>
        <w:description w:val=""/>
        <w:guid w:val="{c8272eaf-5854-4aee-b8f8-66beff89fc39}"/>
      </w:docPartPr>
      <w:docPartBody>
        <w:p>
          <w:r>
            <w:rPr>
              <w:color w:val="808080"/>
            </w:rPr>
            <w:t>单击此处输入文字。</w:t>
          </w:r>
        </w:p>
      </w:docPartBody>
    </w:docPart>
    <w:docPart>
      <w:docPartPr>
        <w:name w:val="{4a1c3524-3acc-4f3b-abe7-e7e40e731d81}"/>
        <w:style w:val=""/>
        <w:category>
          <w:name w:val="常规"/>
          <w:gallery w:val="placeholder"/>
        </w:category>
        <w:types>
          <w:type w:val="bbPlcHdr"/>
        </w:types>
        <w:behaviors>
          <w:behavior w:val="content"/>
        </w:behaviors>
        <w:description w:val=""/>
        <w:guid w:val="{4a1c3524-3acc-4f3b-abe7-e7e40e731d81}"/>
      </w:docPartPr>
      <w:docPartBody>
        <w:p>
          <w:r>
            <w:rPr>
              <w:color w:val="808080"/>
            </w:rPr>
            <w:t>单击此处输入文字。</w:t>
          </w:r>
        </w:p>
      </w:docPartBody>
    </w:docPart>
    <w:docPart>
      <w:docPartPr>
        <w:name w:val="{90d09e08-edf9-4242-ae4a-9557e4626938}"/>
        <w:style w:val=""/>
        <w:category>
          <w:name w:val="常规"/>
          <w:gallery w:val="placeholder"/>
        </w:category>
        <w:types>
          <w:type w:val="bbPlcHdr"/>
        </w:types>
        <w:behaviors>
          <w:behavior w:val="content"/>
        </w:behaviors>
        <w:description w:val=""/>
        <w:guid w:val="{90d09e08-edf9-4242-ae4a-9557e4626938}"/>
      </w:docPartPr>
      <w:docPartBody>
        <w:p>
          <w:r>
            <w:rPr>
              <w:color w:val="808080"/>
            </w:rPr>
            <w:t>单击此处输入文字。</w:t>
          </w:r>
        </w:p>
      </w:docPartBody>
    </w:docPart>
    <w:docPart>
      <w:docPartPr>
        <w:name w:val="{c62c3ec3-9d33-4a74-9666-09493f279749}"/>
        <w:style w:val=""/>
        <w:category>
          <w:name w:val="常规"/>
          <w:gallery w:val="placeholder"/>
        </w:category>
        <w:types>
          <w:type w:val="bbPlcHdr"/>
        </w:types>
        <w:behaviors>
          <w:behavior w:val="content"/>
        </w:behaviors>
        <w:description w:val=""/>
        <w:guid w:val="{c62c3ec3-9d33-4a74-9666-09493f279749}"/>
      </w:docPartPr>
      <w:docPartBody>
        <w:p>
          <w:r>
            <w:rPr>
              <w:color w:val="808080"/>
            </w:rPr>
            <w:t>单击此处输入文字。</w:t>
          </w:r>
        </w:p>
      </w:docPartBody>
    </w:docPart>
    <w:docPart>
      <w:docPartPr>
        <w:name w:val="{e4a59c50-0217-4582-bfda-c1e564ad3a4a}"/>
        <w:style w:val=""/>
        <w:category>
          <w:name w:val="常规"/>
          <w:gallery w:val="placeholder"/>
        </w:category>
        <w:types>
          <w:type w:val="bbPlcHdr"/>
        </w:types>
        <w:behaviors>
          <w:behavior w:val="content"/>
        </w:behaviors>
        <w:description w:val=""/>
        <w:guid w:val="{e4a59c50-0217-4582-bfda-c1e564ad3a4a}"/>
      </w:docPartPr>
      <w:docPartBody>
        <w:p>
          <w:r>
            <w:rPr>
              <w:color w:val="808080"/>
            </w:rPr>
            <w:t>单击此处输入文字。</w:t>
          </w:r>
        </w:p>
      </w:docPartBody>
    </w:docPart>
    <w:docPart>
      <w:docPartPr>
        <w:name w:val="{e94d57d9-0fc8-46e2-94f8-6235dac48e37}"/>
        <w:style w:val=""/>
        <w:category>
          <w:name w:val="常规"/>
          <w:gallery w:val="placeholder"/>
        </w:category>
        <w:types>
          <w:type w:val="bbPlcHdr"/>
        </w:types>
        <w:behaviors>
          <w:behavior w:val="content"/>
        </w:behaviors>
        <w:description w:val=""/>
        <w:guid w:val="{e94d57d9-0fc8-46e2-94f8-6235dac48e3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34</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2019-07-02T04:02:14Z</cp:lastPrinted>
  <dcterms:modified xsi:type="dcterms:W3CDTF">2019-07-02T04:32:47Z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