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34" w:name="_GoBack"/>
      <w:r>
        <w:rPr>
          <w:rFonts w:hint="eastAsia" w:ascii="方正小标宋简体" w:eastAsia="方正小标宋简体"/>
          <w:sz w:val="44"/>
          <w:szCs w:val="44"/>
        </w:rPr>
        <w:t>资阳市第一人民医院</w:t>
      </w:r>
    </w:p>
    <w:p>
      <w:pPr>
        <w:jc w:val="center"/>
        <w:rPr>
          <w:rFonts w:ascii="方正小标宋简体" w:eastAsia="方正小标宋简体"/>
          <w:spacing w:val="0"/>
          <w:sz w:val="44"/>
          <w:szCs w:val="44"/>
        </w:rPr>
      </w:pPr>
      <w:r>
        <w:rPr>
          <w:rFonts w:hint="eastAsia" w:ascii="方正小标宋简体" w:eastAsia="方正小标宋简体"/>
          <w:spacing w:val="0"/>
          <w:sz w:val="44"/>
          <w:szCs w:val="44"/>
          <w:lang w:eastAsia="zh-CN"/>
        </w:rPr>
        <w:t>眼科专用手术器械</w:t>
      </w:r>
      <w:r>
        <w:rPr>
          <w:rFonts w:hint="eastAsia" w:ascii="方正小标宋简体" w:eastAsia="方正小标宋简体"/>
          <w:spacing w:val="0"/>
          <w:sz w:val="44"/>
          <w:szCs w:val="44"/>
        </w:rPr>
        <w:t>采购</w:t>
      </w:r>
      <w:r>
        <w:rPr>
          <w:rFonts w:hint="eastAsia" w:ascii="方正小标宋简体" w:eastAsia="方正小标宋简体"/>
          <w:spacing w:val="0"/>
          <w:sz w:val="44"/>
          <w:szCs w:val="44"/>
          <w:lang w:eastAsia="zh-CN"/>
        </w:rPr>
        <w:t>项目公开招标</w:t>
      </w:r>
      <w:r>
        <w:rPr>
          <w:rFonts w:hint="eastAsia" w:ascii="方正小标宋简体" w:eastAsia="方正小标宋简体"/>
          <w:spacing w:val="0"/>
          <w:sz w:val="44"/>
          <w:szCs w:val="44"/>
        </w:rPr>
        <w:t>公告</w:t>
      </w:r>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眼科专用手术器械</w:t>
            </w:r>
            <w:r>
              <w:rPr>
                <w:rFonts w:hint="eastAsia" w:ascii="仿宋_GB2312" w:eastAsia="仿宋_GB2312"/>
                <w:sz w:val="24"/>
                <w:szCs w:val="24"/>
              </w:rPr>
              <w:t>采购</w:t>
            </w:r>
            <w:r>
              <w:rPr>
                <w:rFonts w:hint="eastAsia" w:ascii="仿宋_GB2312" w:eastAsia="仿宋_GB2312"/>
                <w:sz w:val="24"/>
                <w:szCs w:val="24"/>
                <w:lang w:eastAsia="zh-CN"/>
              </w:rPr>
              <w:t>项目公开招标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2019/7/24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2019/7/24-2019/7/30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lang w:eastAsia="zh-CN"/>
              </w:rPr>
              <w:t>眼科专用手术器械采购项目报</w:t>
            </w:r>
            <w:r>
              <w:rPr>
                <w:rFonts w:hint="eastAsia" w:ascii="仿宋_GB2312" w:eastAsia="仿宋_GB2312"/>
                <w:b/>
                <w:bCs/>
                <w:sz w:val="24"/>
                <w:szCs w:val="24"/>
              </w:rPr>
              <w:t>名表</w:t>
            </w:r>
          </w:p>
        </w:tc>
      </w:tr>
    </w:tbl>
    <w:p>
      <w:pPr>
        <w:jc w:val="center"/>
        <w:rPr>
          <w:rFonts w:hint="eastAsia"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资阳市第一人民医院</w:t>
      </w:r>
      <w:bookmarkEnd w:id="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眼科专用手术器械</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二O一九年七月</w:t>
      </w:r>
    </w:p>
    <w:p>
      <w:pPr>
        <w:jc w:val="center"/>
        <w:rPr>
          <w:rFonts w:hint="eastAsia"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71567"/>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6611_WPSOffice_Type1"/>
          <w:r>
            <w:rPr>
              <w:rFonts w:ascii="宋体" w:hAnsi="宋体" w:eastAsia="宋体"/>
              <w:sz w:val="21"/>
            </w:rPr>
            <w:t>目录</w:t>
          </w:r>
        </w:p>
        <w:p>
          <w:pPr>
            <w:pStyle w:val="36"/>
            <w:tabs>
              <w:tab w:val="right" w:leader="dot" w:pos="8845"/>
            </w:tabs>
          </w:pPr>
          <w:r>
            <w:fldChar w:fldCharType="begin"/>
          </w:r>
          <w:r>
            <w:instrText xml:space="preserve"> HYPERLINK \l _Toc11118_WPSOffice_Level1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1567"/>
              <w:placeholder>
                <w:docPart w:val="{3783729c-d0cf-401a-a706-9cfcbc5b6775}"/>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4" w:name="_Toc11118_WPSOffice_Level1Page"/>
          <w:r>
            <w:t>3</w:t>
          </w:r>
          <w:bookmarkEnd w:id="4"/>
          <w:r>
            <w:fldChar w:fldCharType="end"/>
          </w:r>
        </w:p>
        <w:p>
          <w:pPr>
            <w:pStyle w:val="36"/>
            <w:tabs>
              <w:tab w:val="right" w:leader="dot" w:pos="8845"/>
            </w:tabs>
          </w:pPr>
          <w:r>
            <w:fldChar w:fldCharType="begin"/>
          </w:r>
          <w:r>
            <w:instrText xml:space="preserve"> HYPERLINK \l _Toc6611_WPSOffice_Level1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1567"/>
              <w:placeholder>
                <w:docPart w:val="{fa4631ea-5a88-44f6-b8fc-d44abec4ab39}"/>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5" w:name="_Toc6611_WPSOffice_Level1Page"/>
          <w:r>
            <w:t>4</w:t>
          </w:r>
          <w:bookmarkEnd w:id="5"/>
          <w:r>
            <w:fldChar w:fldCharType="end"/>
          </w:r>
        </w:p>
        <w:p>
          <w:pPr>
            <w:pStyle w:val="36"/>
            <w:tabs>
              <w:tab w:val="right" w:leader="dot" w:pos="8845"/>
            </w:tabs>
          </w:pPr>
          <w:r>
            <w:fldChar w:fldCharType="begin"/>
          </w:r>
          <w:r>
            <w:instrText xml:space="preserve"> HYPERLINK \l _Toc12017_WPSOffice_Level1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1567"/>
              <w:placeholder>
                <w:docPart w:val="{21d72e78-5b53-4f44-a3f8-9ed00110adc2}"/>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6" w:name="_Toc12017_WPSOffice_Level1Page"/>
          <w:r>
            <w:t>6</w:t>
          </w:r>
          <w:bookmarkEnd w:id="6"/>
          <w:r>
            <w:fldChar w:fldCharType="end"/>
          </w:r>
        </w:p>
        <w:p>
          <w:pPr>
            <w:pStyle w:val="36"/>
            <w:tabs>
              <w:tab w:val="right" w:leader="dot" w:pos="8845"/>
            </w:tabs>
          </w:pPr>
          <w:r>
            <w:fldChar w:fldCharType="begin"/>
          </w:r>
          <w:r>
            <w:instrText xml:space="preserve"> HYPERLINK \l _Toc19572_WPSOffice_Level1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1567"/>
              <w:placeholder>
                <w:docPart w:val="{a43bc91d-b64f-4dca-9eb2-a545eb2833fd}"/>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投标人应提供的资料</w:t>
              </w:r>
            </w:sdtContent>
          </w:sdt>
          <w:r>
            <w:tab/>
          </w:r>
          <w:bookmarkStart w:id="7" w:name="_Toc19572_WPSOffice_Level1Page"/>
          <w:r>
            <w:t>16</w:t>
          </w:r>
          <w:bookmarkEnd w:id="7"/>
          <w:r>
            <w:fldChar w:fldCharType="end"/>
          </w:r>
        </w:p>
        <w:p>
          <w:pPr>
            <w:pStyle w:val="36"/>
            <w:tabs>
              <w:tab w:val="right" w:leader="dot" w:pos="8845"/>
            </w:tabs>
          </w:pPr>
          <w:r>
            <w:fldChar w:fldCharType="begin"/>
          </w:r>
          <w:r>
            <w:instrText xml:space="preserve"> HYPERLINK \l _Toc2435_WPSOffice_Level1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1567"/>
              <w:placeholder>
                <w:docPart w:val="{0c75bb9f-769f-4104-a05f-f9c2ada63fb6}"/>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报名表及投标文件格式</w:t>
              </w:r>
            </w:sdtContent>
          </w:sdt>
          <w:r>
            <w:tab/>
          </w:r>
          <w:bookmarkStart w:id="8" w:name="_Toc2435_WPSOffice_Level1Page"/>
          <w:r>
            <w:t>17</w:t>
          </w:r>
          <w:bookmarkEnd w:id="8"/>
          <w:r>
            <w:fldChar w:fldCharType="end"/>
          </w:r>
          <w:bookmarkEnd w:id="3"/>
        </w:p>
      </w:sdtContent>
    </w:sdt>
    <w:p>
      <w:pPr>
        <w:pStyle w:val="35"/>
        <w:rPr>
          <w:rFonts w:hint="eastAsia"/>
        </w:rPr>
      </w:pPr>
      <w:r>
        <w:rPr>
          <w:rFonts w:hint="eastAsia"/>
        </w:rPr>
        <w:br w:type="page"/>
      </w:r>
    </w:p>
    <w:p>
      <w:pPr>
        <w:pStyle w:val="35"/>
        <w:rPr>
          <w:rFonts w:hint="eastAsia"/>
        </w:rPr>
      </w:pPr>
      <w:bookmarkStart w:id="9" w:name="_Toc11118_WPSOffice_Level1"/>
      <w:r>
        <w:rPr>
          <w:rFonts w:hint="eastAsia"/>
        </w:rPr>
        <w:t>第一章  投标邀请</w:t>
      </w:r>
      <w:bookmarkEnd w:id="9"/>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0"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0"/>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rPr>
        <w:t>另定开标时间，资阳市第一人民医院</w:t>
      </w:r>
      <w:r>
        <w:rPr>
          <w:rFonts w:hint="eastAsia" w:ascii="仿宋_GB2312" w:hAnsi="宋体" w:eastAsia="仿宋_GB2312"/>
          <w:sz w:val="24"/>
          <w:szCs w:val="24"/>
          <w:lang w:eastAsia="zh-CN"/>
        </w:rPr>
        <w:t>以回复报名</w:t>
      </w:r>
      <w:r>
        <w:rPr>
          <w:rFonts w:hint="eastAsia" w:ascii="仿宋_GB2312" w:hAnsi="宋体" w:eastAsia="仿宋_GB2312"/>
          <w:sz w:val="24"/>
          <w:szCs w:val="24"/>
        </w:rPr>
        <w:t>邮箱</w:t>
      </w:r>
      <w:r>
        <w:rPr>
          <w:rFonts w:hint="eastAsia" w:ascii="仿宋_GB2312" w:hAnsi="宋体" w:eastAsia="仿宋_GB2312"/>
          <w:sz w:val="24"/>
          <w:szCs w:val="24"/>
          <w:lang w:eastAsia="zh-CN"/>
        </w:rPr>
        <w:t>及医院网站公告的方式</w:t>
      </w:r>
      <w:r>
        <w:rPr>
          <w:rFonts w:hint="eastAsia" w:ascii="仿宋_GB2312" w:hAnsi="宋体" w:eastAsia="仿宋_GB2312"/>
          <w:sz w:val="24"/>
          <w:szCs w:val="24"/>
        </w:rPr>
        <w:t>通知已报名的投标人来院开标。</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5"/>
        <w:rPr>
          <w:rFonts w:hint="eastAsia"/>
        </w:rPr>
      </w:pPr>
      <w:bookmarkStart w:id="11" w:name="_Toc6611_WPSOffice_Level1"/>
      <w:r>
        <w:rPr>
          <w:rFonts w:hint="eastAsia"/>
          <w:lang w:eastAsia="zh-CN"/>
        </w:rPr>
        <w:t>第二章　</w:t>
      </w:r>
      <w:r>
        <w:rPr>
          <w:rFonts w:hint="eastAsia"/>
        </w:rPr>
        <w:t>采购要求</w:t>
      </w:r>
      <w:bookmarkEnd w:id="11"/>
    </w:p>
    <w:p>
      <w:pPr>
        <w:spacing w:afterLines="50" w:line="240" w:lineRule="auto"/>
        <w:ind w:firstLine="480" w:firstLineChars="200"/>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眼科专用手术器械</w:t>
      </w:r>
      <w:r>
        <w:rPr>
          <w:rFonts w:hint="eastAsia" w:ascii="楷体" w:hAnsi="楷体" w:eastAsia="楷体" w:cs="楷体"/>
          <w:b/>
          <w:bCs/>
          <w:color w:val="auto"/>
          <w:sz w:val="24"/>
        </w:rPr>
        <w:t>。</w:t>
      </w:r>
    </w:p>
    <w:p>
      <w:pPr>
        <w:spacing w:afterLines="50" w:line="240" w:lineRule="auto"/>
        <w:ind w:firstLine="480" w:firstLineChars="200"/>
        <w:rPr>
          <w:rFonts w:hint="eastAsia" w:ascii="仿宋_GB2312" w:eastAsia="仿宋_GB2312"/>
          <w:sz w:val="24"/>
          <w:lang w:eastAsia="zh-CN"/>
        </w:rPr>
      </w:pPr>
      <w:r>
        <w:rPr>
          <w:rFonts w:hint="eastAsia" w:ascii="仿宋_GB2312" w:eastAsia="仿宋_GB2312"/>
          <w:sz w:val="24"/>
          <w:lang w:eastAsia="zh-CN"/>
        </w:rPr>
        <w:t>　根据日常使用需要进行采购。</w:t>
      </w:r>
    </w:p>
    <w:p>
      <w:pPr>
        <w:pStyle w:val="27"/>
        <w:spacing w:line="420" w:lineRule="exact"/>
        <w:rPr>
          <w:rFonts w:ascii="仿宋" w:hAnsi="仿宋" w:eastAsia="仿宋"/>
          <w:sz w:val="24"/>
        </w:rPr>
      </w:pPr>
      <w:r>
        <w:rPr>
          <w:rFonts w:hint="eastAsia" w:ascii="楷体" w:hAnsi="楷体" w:eastAsia="楷体" w:cs="楷体"/>
          <w:b/>
          <w:bCs/>
          <w:color w:val="auto"/>
          <w:kern w:val="2"/>
          <w:sz w:val="24"/>
          <w:szCs w:val="24"/>
          <w:lang w:val="en-US" w:eastAsia="zh-CN" w:bidi="ar-SA"/>
        </w:rPr>
        <w:t>（二）采购清单</w:t>
      </w:r>
    </w:p>
    <w:tbl>
      <w:tblPr>
        <w:tblStyle w:val="19"/>
        <w:tblW w:w="8054" w:type="dxa"/>
        <w:jc w:val="center"/>
        <w:tblInd w:w="-3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22"/>
        <w:gridCol w:w="40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blHeader/>
          <w:jc w:val="center"/>
        </w:trPr>
        <w:tc>
          <w:tcPr>
            <w:tcW w:w="891"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112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4057"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w:t>
            </w:r>
            <w:r>
              <w:rPr>
                <w:rFonts w:hint="eastAsia" w:ascii="仿宋_GB2312" w:hAnsi="仿宋_GB2312" w:eastAsia="仿宋_GB2312" w:cs="仿宋_GB2312"/>
                <w:sz w:val="21"/>
                <w:szCs w:val="21"/>
                <w:lang w:eastAsia="zh-CN"/>
              </w:rPr>
              <w:t>系列</w:t>
            </w:r>
          </w:p>
        </w:tc>
        <w:tc>
          <w:tcPr>
            <w:tcW w:w="198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开睑器系列</w:t>
            </w:r>
          </w:p>
        </w:tc>
        <w:tc>
          <w:tcPr>
            <w:tcW w:w="198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显微眼科镊系列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显微持针钳系列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显微眼用剪系列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显微眼内器械系列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手术放大镜系列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7</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冲洗器械系列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8</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白内障、超乳、准分子杆类系列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9</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刀类系列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10</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眼罩系列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消毒盒系列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套包系列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普通外眼器械类</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一次性使用无菌眼科手术刀</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bl>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二、商务要求</w:t>
      </w:r>
    </w:p>
    <w:p>
      <w:pPr>
        <w:spacing w:afterLines="50" w:line="240" w:lineRule="auto"/>
        <w:ind w:firstLine="482" w:firstLineChars="200"/>
        <w:rPr>
          <w:rFonts w:hint="eastAsia" w:ascii="仿宋_GB2312" w:hAnsi="仿宋_GB2312" w:eastAsia="仿宋_GB2312" w:cs="仿宋_GB2312"/>
          <w:b w:val="0"/>
          <w:bCs w:val="0"/>
          <w:sz w:val="24"/>
        </w:rPr>
      </w:pPr>
      <w:r>
        <w:rPr>
          <w:rFonts w:hint="eastAsia" w:ascii="楷体" w:hAnsi="楷体" w:eastAsia="楷体" w:cs="楷体"/>
          <w:b/>
          <w:bCs/>
          <w:sz w:val="24"/>
          <w:lang w:val="en-US" w:eastAsia="zh-CN"/>
        </w:rPr>
        <w:t>（一）资质，</w:t>
      </w:r>
      <w:r>
        <w:rPr>
          <w:rFonts w:hint="eastAsia" w:ascii="仿宋_GB2312" w:hAnsi="仿宋_GB2312" w:eastAsia="仿宋_GB2312" w:cs="仿宋_GB2312"/>
          <w:b w:val="0"/>
          <w:bCs w:val="0"/>
          <w:sz w:val="24"/>
          <w:lang w:val="en-US" w:eastAsia="zh-CN"/>
        </w:rPr>
        <w:t>投标及</w:t>
      </w:r>
      <w:r>
        <w:rPr>
          <w:rFonts w:hint="eastAsia" w:ascii="仿宋_GB2312" w:hAnsi="仿宋_GB2312" w:eastAsia="仿宋_GB2312" w:cs="仿宋_GB2312"/>
          <w:b w:val="0"/>
          <w:bCs w:val="0"/>
          <w:sz w:val="24"/>
        </w:rPr>
        <w:t>供货时</w:t>
      </w:r>
      <w:r>
        <w:rPr>
          <w:rFonts w:hint="eastAsia" w:ascii="仿宋_GB2312" w:hAnsi="仿宋_GB2312" w:eastAsia="仿宋_GB2312" w:cs="仿宋_GB2312"/>
          <w:b w:val="0"/>
          <w:bCs w:val="0"/>
          <w:sz w:val="24"/>
          <w:lang w:eastAsia="zh-CN"/>
        </w:rPr>
        <w:t>投标人</w:t>
      </w:r>
      <w:r>
        <w:rPr>
          <w:rFonts w:hint="eastAsia" w:ascii="仿宋_GB2312" w:hAnsi="仿宋_GB2312" w:eastAsia="仿宋_GB2312" w:cs="仿宋_GB2312"/>
          <w:b w:val="0"/>
          <w:bCs w:val="0"/>
          <w:sz w:val="24"/>
        </w:rPr>
        <w:t>按采购人要求提供全套资质资料：</w:t>
      </w:r>
      <w:r>
        <w:rPr>
          <w:rFonts w:hint="eastAsia" w:ascii="仿宋_GB2312" w:hAnsi="仿宋_GB2312" w:eastAsia="仿宋_GB2312" w:cs="仿宋_GB2312"/>
          <w:b w:val="0"/>
          <w:bCs w:val="0"/>
          <w:sz w:val="24"/>
          <w:lang w:eastAsia="zh-CN"/>
        </w:rPr>
        <w:t>销售资质、生产资质、销售授权、</w:t>
      </w:r>
      <w:r>
        <w:rPr>
          <w:rFonts w:hint="eastAsia" w:ascii="仿宋_GB2312" w:hAnsi="仿宋_GB2312" w:eastAsia="仿宋_GB2312" w:cs="仿宋_GB2312"/>
          <w:b w:val="0"/>
          <w:bCs w:val="0"/>
          <w:sz w:val="24"/>
        </w:rPr>
        <w:t>《医疗器械注册证》《使用说明书》、其他</w:t>
      </w:r>
      <w:r>
        <w:rPr>
          <w:rFonts w:hint="eastAsia" w:ascii="仿宋_GB2312" w:hAnsi="仿宋_GB2312" w:eastAsia="仿宋_GB2312" w:cs="仿宋_GB2312"/>
          <w:b w:val="0"/>
          <w:bCs w:val="0"/>
          <w:sz w:val="24"/>
          <w:lang w:eastAsia="zh-CN"/>
        </w:rPr>
        <w:t>投标人要求</w:t>
      </w:r>
      <w:r>
        <w:rPr>
          <w:rFonts w:hint="eastAsia" w:ascii="仿宋_GB2312" w:hAnsi="仿宋_GB2312" w:eastAsia="仿宋_GB2312" w:cs="仿宋_GB2312"/>
          <w:b w:val="0"/>
          <w:bCs w:val="0"/>
          <w:sz w:val="24"/>
        </w:rPr>
        <w:t>相关资料。</w:t>
      </w:r>
    </w:p>
    <w:p>
      <w:pPr>
        <w:spacing w:afterLines="50" w:line="240" w:lineRule="auto"/>
        <w:ind w:firstLine="482" w:firstLineChars="200"/>
        <w:rPr>
          <w:rFonts w:hint="eastAsia" w:ascii="仿宋" w:hAnsi="仿宋" w:eastAsia="仿宋"/>
          <w:sz w:val="24"/>
        </w:rPr>
      </w:pPr>
      <w:r>
        <w:rPr>
          <w:rFonts w:hint="eastAsia" w:ascii="楷体" w:hAnsi="楷体" w:eastAsia="楷体" w:cs="楷体"/>
          <w:b/>
          <w:bCs/>
          <w:sz w:val="24"/>
          <w:lang w:val="en-US" w:eastAsia="zh-CN"/>
        </w:rPr>
        <w:t>（二）其他，</w:t>
      </w:r>
      <w:r>
        <w:rPr>
          <w:rFonts w:hint="eastAsia" w:ascii="仿宋" w:hAnsi="仿宋" w:eastAsia="仿宋"/>
          <w:sz w:val="24"/>
        </w:rPr>
        <w:t>其他商务要求请参照《采购合同》执行。</w:t>
      </w:r>
    </w:p>
    <w:p>
      <w:pPr>
        <w:spacing w:afterLines="50" w:line="240" w:lineRule="auto"/>
        <w:ind w:firstLine="482" w:firstLineChars="200"/>
        <w:rPr>
          <w:rFonts w:hint="eastAsia" w:ascii="黑体" w:hAnsi="黑体" w:eastAsia="黑体"/>
          <w:b/>
          <w:sz w:val="24"/>
          <w:lang w:eastAsia="zh-CN"/>
        </w:rPr>
      </w:pPr>
      <w:r>
        <w:rPr>
          <w:rFonts w:hint="eastAsia" w:ascii="黑体" w:hAnsi="黑体" w:eastAsia="黑体"/>
          <w:b/>
          <w:sz w:val="24"/>
          <w:lang w:eastAsia="zh-CN"/>
        </w:rPr>
        <w:t>三</w:t>
      </w:r>
      <w:r>
        <w:rPr>
          <w:rFonts w:hint="eastAsia" w:ascii="黑体" w:hAnsi="黑体" w:eastAsia="黑体"/>
          <w:b/>
          <w:sz w:val="24"/>
        </w:rPr>
        <w:t>、</w:t>
      </w:r>
      <w:r>
        <w:rPr>
          <w:rFonts w:hint="eastAsia" w:ascii="黑体" w:hAnsi="黑体" w:eastAsia="黑体"/>
          <w:b/>
          <w:sz w:val="24"/>
          <w:lang w:eastAsia="zh-CN"/>
        </w:rPr>
        <w:t>产品要求</w:t>
      </w:r>
    </w:p>
    <w:p>
      <w:pPr>
        <w:spacing w:afterLines="50" w:line="240" w:lineRule="auto"/>
        <w:ind w:firstLine="480" w:firstLineChars="200"/>
        <w:rPr>
          <w:rFonts w:hint="eastAsia" w:ascii="仿宋_GB2312" w:hAnsi="仿宋_GB2312" w:eastAsia="仿宋_GB2312" w:cs="仿宋_GB2312"/>
          <w:b w:val="0"/>
          <w:bCs/>
          <w:sz w:val="24"/>
          <w:lang w:val="en-US" w:eastAsia="zh-CN"/>
        </w:rPr>
      </w:pPr>
      <w:r>
        <w:rPr>
          <w:rFonts w:hint="eastAsia" w:ascii="仿宋_GB2312" w:hAnsi="仿宋_GB2312" w:eastAsia="仿宋_GB2312" w:cs="仿宋_GB2312"/>
          <w:b w:val="0"/>
          <w:bCs/>
          <w:sz w:val="24"/>
          <w:lang w:val="en-US" w:eastAsia="zh-CN"/>
        </w:rPr>
        <w:t>1. 眼科专用器械的产品系列齐全且不超过3个品牌，满足眼科检查、手术、治疗需要。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 每个系列中产品的种类齐全、多种规格齐全，满足眼科检查、手术、治疗需要。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szCs w:val="24"/>
          <w:lang w:val="en-US" w:eastAsia="zh-CN"/>
        </w:rPr>
        <w:t>3. 产品设计精细，</w:t>
      </w:r>
      <w:r>
        <w:rPr>
          <w:rFonts w:hint="eastAsia" w:ascii="仿宋_GB2312" w:hAnsi="仿宋_GB2312" w:eastAsia="仿宋_GB2312" w:cs="仿宋_GB2312"/>
          <w:b w:val="0"/>
          <w:bCs/>
          <w:sz w:val="24"/>
          <w:szCs w:val="24"/>
          <w:lang w:val="en-US" w:eastAsia="zh-CN"/>
        </w:rPr>
        <w:t>满足眼科检查、手术、治疗需要。</w:t>
      </w:r>
    </w:p>
    <w:p>
      <w:pPr>
        <w:pStyle w:val="2"/>
        <w:rPr>
          <w:rFonts w:hint="eastAsia"/>
          <w:lang w:val="en-US" w:eastAsia="zh-CN"/>
        </w:rPr>
      </w:pPr>
      <w:r>
        <w:rPr>
          <w:rFonts w:hint="eastAsia" w:ascii="仿宋_GB2312" w:hAnsi="仿宋_GB2312" w:eastAsia="仿宋_GB2312" w:cs="仿宋_GB2312"/>
          <w:b w:val="0"/>
          <w:bCs/>
          <w:sz w:val="24"/>
          <w:szCs w:val="24"/>
          <w:lang w:val="en-US" w:eastAsia="zh-CN"/>
        </w:rPr>
        <w:t>　　★4. 需提供产品样品：眼睑撑开器、一次性眼科穿刺刀（15</w:t>
      </w:r>
      <w:r>
        <w:rPr>
          <w:rFonts w:hint="eastAsia" w:ascii="仿宋_GB2312" w:hAnsi="仿宋_GB2312" w:eastAsia="仿宋_GB2312" w:cs="仿宋_GB2312"/>
          <w:b w:val="0"/>
          <w:bCs/>
          <w:sz w:val="24"/>
          <w:szCs w:val="24"/>
          <w:vertAlign w:val="superscript"/>
          <w:lang w:val="en-US" w:eastAsia="zh-CN"/>
        </w:rPr>
        <w:t>0</w:t>
      </w:r>
      <w:r>
        <w:rPr>
          <w:rFonts w:hint="eastAsia" w:ascii="仿宋_GB2312" w:hAnsi="仿宋_GB2312" w:eastAsia="仿宋_GB2312" w:cs="仿宋_GB2312"/>
          <w:b w:val="0"/>
          <w:bCs/>
          <w:sz w:val="24"/>
          <w:szCs w:val="24"/>
          <w:vertAlign w:val="baseline"/>
          <w:lang w:val="en-US" w:eastAsia="zh-CN"/>
        </w:rPr>
        <w:t>、2.2mm～3.0mm</w:t>
      </w:r>
      <w:r>
        <w:rPr>
          <w:rFonts w:hint="eastAsia" w:ascii="仿宋_GB2312" w:hAnsi="仿宋_GB2312" w:eastAsia="仿宋_GB2312" w:cs="仿宋_GB2312"/>
          <w:b w:val="0"/>
          <w:bCs/>
          <w:sz w:val="24"/>
          <w:szCs w:val="24"/>
          <w:lang w:val="en-US" w:eastAsia="zh-CN"/>
        </w:rPr>
        <w:t>）、撕囊镊、显微有齿镊及线镊、劈核刀、小剪刀、角膜剪、囊膜剪、双腔冲洗针头、晶体圈套器、斜视钩、止血器、带刻度的卡尺、斜视监测三棱镜、眼内异物镊。</w:t>
      </w:r>
    </w:p>
    <w:p>
      <w:pPr>
        <w:spacing w:afterLines="50" w:line="24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采购人在日常采购时，订购显微器械若因为规格、精细度等不能满足临床，可在15天内退货或换货。</w:t>
      </w:r>
    </w:p>
    <w:p>
      <w:pPr>
        <w:pStyle w:val="35"/>
        <w:rPr>
          <w:rFonts w:hint="eastAsia"/>
          <w:lang w:eastAsia="zh-CN"/>
        </w:rPr>
      </w:pPr>
      <w:r>
        <w:rPr>
          <w:rFonts w:hint="eastAsia"/>
          <w:lang w:eastAsia="zh-CN"/>
        </w:rPr>
        <w:br w:type="page"/>
      </w:r>
    </w:p>
    <w:p>
      <w:pPr>
        <w:pStyle w:val="35"/>
        <w:rPr>
          <w:rFonts w:hint="eastAsia"/>
          <w:lang w:eastAsia="zh-CN"/>
        </w:rPr>
      </w:pPr>
      <w:bookmarkStart w:id="12" w:name="_Toc12017_WPSOffice_Level1"/>
      <w:r>
        <w:rPr>
          <w:rFonts w:hint="eastAsia"/>
          <w:lang w:eastAsia="zh-CN"/>
        </w:rPr>
        <w:t>第三章  评标办法</w:t>
      </w:r>
      <w:bookmarkEnd w:id="12"/>
      <w:bookmarkStart w:id="13" w:name="_Hlt101846155"/>
      <w:bookmarkEnd w:id="13"/>
      <w:bookmarkStart w:id="14" w:name="_Toc183682415"/>
      <w:bookmarkStart w:id="15" w:name="_Toc183582280"/>
      <w:bookmarkStart w:id="16" w:name="_Toc217446097"/>
      <w:bookmarkStart w:id="17" w:name="_Toc208849007"/>
    </w:p>
    <w:bookmarkEnd w:id="14"/>
    <w:bookmarkEnd w:id="15"/>
    <w:bookmarkEnd w:id="16"/>
    <w:bookmarkEnd w:id="17"/>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18" w:name="_Toc217446098"/>
      <w:r>
        <w:rPr>
          <w:rFonts w:hint="eastAsia" w:ascii="黑体" w:hAnsi="黑体" w:eastAsia="黑体" w:cs="黑体"/>
          <w:sz w:val="24"/>
          <w:szCs w:val="24"/>
          <w:lang w:eastAsia="zh-CN"/>
        </w:rPr>
        <w:t>二、评标</w:t>
      </w:r>
      <w:bookmarkEnd w:id="18"/>
      <w:r>
        <w:rPr>
          <w:rFonts w:hint="eastAsia" w:ascii="黑体" w:hAnsi="黑体" w:eastAsia="黑体" w:cs="黑体"/>
          <w:sz w:val="24"/>
          <w:szCs w:val="24"/>
          <w:lang w:eastAsia="zh-CN"/>
        </w:rPr>
        <w:t>方法</w:t>
      </w:r>
      <w:bookmarkStart w:id="19"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19"/>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hint="eastAsia" w:ascii="仿宋" w:hAnsi="仿宋" w:eastAsia="仿宋"/>
                <w:szCs w:val="21"/>
                <w:lang w:val="en-US" w:eastAsia="zh-CN"/>
              </w:rPr>
              <w:t>40</w:t>
            </w:r>
            <w:r>
              <w:rPr>
                <w:rFonts w:ascii="仿宋" w:hAnsi="仿宋" w:eastAsia="仿宋"/>
                <w:szCs w:val="21"/>
              </w:rPr>
              <w:t>%</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40</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hint="eastAsia" w:ascii="仿宋" w:hAnsi="仿宋" w:eastAsia="仿宋"/>
                <w:szCs w:val="21"/>
                <w:lang w:val="en-US" w:eastAsia="zh-CN"/>
              </w:rPr>
              <w:t>40</w:t>
            </w:r>
            <w:r>
              <w:rPr>
                <w:rFonts w:ascii="仿宋" w:hAnsi="仿宋" w:eastAsia="仿宋"/>
                <w:szCs w:val="21"/>
              </w:rPr>
              <w:t>%</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w:t>
            </w:r>
            <w:r>
              <w:rPr>
                <w:rFonts w:hint="eastAsia" w:ascii="仿宋" w:hAnsi="仿宋" w:eastAsia="仿宋"/>
                <w:szCs w:val="21"/>
                <w:lang w:val="en-US" w:eastAsia="zh-CN"/>
              </w:rPr>
              <w:t>2</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52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hint="eastAsia" w:ascii="仿宋" w:hAnsi="仿宋" w:eastAsia="仿宋"/>
                <w:szCs w:val="21"/>
                <w:lang w:val="en-US" w:eastAsia="zh-CN"/>
              </w:rPr>
              <w:t>20</w:t>
            </w:r>
            <w:r>
              <w:rPr>
                <w:rFonts w:hint="eastAsia" w:ascii="仿宋" w:hAnsi="仿宋" w:eastAsia="仿宋"/>
                <w:szCs w:val="21"/>
              </w:rPr>
              <w:t>分，一般</w:t>
            </w:r>
            <w:r>
              <w:rPr>
                <w:rFonts w:ascii="仿宋" w:hAnsi="仿宋" w:eastAsia="仿宋"/>
                <w:szCs w:val="21"/>
              </w:rPr>
              <w:t>条款负偏离一项扣</w:t>
            </w:r>
            <w:r>
              <w:rPr>
                <w:rFonts w:hint="eastAsia" w:ascii="仿宋" w:hAnsi="仿宋" w:eastAsia="仿宋"/>
                <w:szCs w:val="21"/>
                <w:lang w:val="en-US" w:eastAsia="zh-CN"/>
              </w:rPr>
              <w:t>8</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合同编号：</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0"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0"/>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1" w:name="_Toc217446108"/>
      <w:r>
        <w:rPr>
          <w:rFonts w:hint="eastAsia" w:ascii="黑体" w:hAnsi="黑体" w:eastAsia="黑体"/>
          <w:sz w:val="24"/>
          <w:szCs w:val="24"/>
        </w:rPr>
        <w:t>二、合同</w:t>
      </w:r>
      <w:bookmarkEnd w:id="21"/>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2" w:name="_Toc217446109"/>
      <w:r>
        <w:rPr>
          <w:rFonts w:hint="eastAsia" w:ascii="黑体" w:hAnsi="黑体" w:eastAsia="黑体"/>
          <w:sz w:val="24"/>
          <w:szCs w:val="24"/>
        </w:rPr>
        <w:t>三、质量要求</w:t>
      </w:r>
      <w:bookmarkEnd w:id="22"/>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3" w:name="_Toc217446110"/>
      <w:r>
        <w:rPr>
          <w:rFonts w:hint="eastAsia" w:ascii="黑体" w:hAnsi="黑体" w:eastAsia="黑体"/>
          <w:sz w:val="24"/>
          <w:szCs w:val="24"/>
        </w:rPr>
        <w:t>四、交货及验收</w:t>
      </w:r>
      <w:bookmarkEnd w:id="23"/>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4" w:name="_Toc217446111"/>
      <w:r>
        <w:rPr>
          <w:rFonts w:hint="eastAsia" w:ascii="黑体" w:hAnsi="黑体" w:eastAsia="黑体"/>
          <w:sz w:val="24"/>
          <w:szCs w:val="24"/>
        </w:rPr>
        <w:t>五、付款方式</w:t>
      </w:r>
      <w:bookmarkEnd w:id="24"/>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5" w:name="_Toc217446112"/>
      <w:r>
        <w:rPr>
          <w:rFonts w:hint="eastAsia" w:ascii="黑体" w:hAnsi="黑体" w:eastAsia="黑体"/>
          <w:sz w:val="24"/>
          <w:szCs w:val="24"/>
        </w:rPr>
        <w:t>六、售后服务</w:t>
      </w:r>
      <w:bookmarkEnd w:id="25"/>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6" w:name="_Toc217446113"/>
      <w:r>
        <w:rPr>
          <w:rFonts w:hint="eastAsia" w:ascii="黑体" w:hAnsi="黑体" w:eastAsia="黑体"/>
          <w:sz w:val="24"/>
          <w:szCs w:val="24"/>
        </w:rPr>
        <w:t>八、违约责任</w:t>
      </w:r>
      <w:bookmarkEnd w:id="26"/>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7" w:name="_Toc217446114"/>
      <w:r>
        <w:rPr>
          <w:rFonts w:hint="eastAsia" w:ascii="黑体" w:hAnsi="黑体" w:eastAsia="黑体"/>
          <w:sz w:val="24"/>
          <w:szCs w:val="24"/>
        </w:rPr>
        <w:t>九、争议解决办法</w:t>
      </w:r>
      <w:bookmarkEnd w:id="27"/>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8" w:name="_Toc217446115"/>
      <w:r>
        <w:rPr>
          <w:rFonts w:hint="eastAsia" w:ascii="黑体" w:hAnsi="黑体" w:eastAsia="黑体"/>
          <w:sz w:val="24"/>
          <w:szCs w:val="24"/>
        </w:rPr>
        <w:t>十、其他</w:t>
      </w:r>
      <w:bookmarkEnd w:id="28"/>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8"/>
          <w:szCs w:val="28"/>
        </w:rPr>
      </w:pPr>
      <w:r>
        <w:rPr>
          <w:rFonts w:hint="eastAsia" w:ascii="仿宋_GB2312" w:hAnsi="仿宋" w:eastAsia="仿宋_GB2312"/>
          <w:sz w:val="24"/>
          <w:szCs w:val="24"/>
        </w:rPr>
        <w:t>2. 本合同一式六份，自双方签章之日起生效。甲方三份，乙方、政府采购管理部门、采购代理机构各一份。</w:t>
      </w:r>
    </w:p>
    <w:p>
      <w:pPr>
        <w:snapToGrid w:val="0"/>
        <w:rPr>
          <w:rFonts w:hint="eastAsia" w:ascii="仿宋_GB2312" w:hAnsi="仿宋" w:eastAsia="仿宋_GB2312"/>
          <w:sz w:val="28"/>
          <w:szCs w:val="28"/>
        </w:rPr>
      </w:pPr>
    </w:p>
    <w:p>
      <w:pPr>
        <w:pStyle w:val="2"/>
        <w:rPr>
          <w:rFonts w:hint="eastAsia"/>
        </w:rPr>
      </w:pPr>
    </w:p>
    <w:tbl>
      <w:tblPr>
        <w:tblStyle w:val="20"/>
        <w:tblW w:w="9956" w:type="dxa"/>
        <w:jc w:val="center"/>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rPr>
          <w:rFonts w:hint="eastAsia"/>
        </w:rPr>
      </w:pPr>
      <w:bookmarkStart w:id="29" w:name="_Toc19572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29"/>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hint="eastAsia" w:ascii="仿宋_GB2312" w:eastAsia="仿宋_GB2312"/>
                <w:lang w:eastAsia="zh-CN"/>
              </w:rPr>
            </w:pPr>
            <w:r>
              <w:rPr>
                <w:rFonts w:hint="eastAsia" w:ascii="仿宋_GB2312" w:eastAsia="仿宋_GB2312"/>
                <w:lang w:val="en-US" w:eastAsia="zh-CN"/>
              </w:rPr>
              <w:t>投标项目资质（医疗器械注册证/</w:t>
            </w:r>
            <w:r>
              <w:rPr>
                <w:rFonts w:hint="eastAsia" w:ascii="仿宋_GB2312" w:eastAsia="仿宋_GB2312"/>
              </w:rPr>
              <w:t>消毒产品卫生许可证</w:t>
            </w:r>
            <w:r>
              <w:rPr>
                <w:rFonts w:hint="eastAsia" w:ascii="仿宋_GB2312" w:eastAsia="仿宋_GB231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rPr>
          <w:rFonts w:hint="eastAsia"/>
          <w:lang w:eastAsia="zh-CN"/>
        </w:rPr>
      </w:pPr>
      <w:bookmarkStart w:id="30" w:name="_Toc2435_WPSOffice_Level1"/>
      <w:r>
        <w:rPr>
          <w:rFonts w:hint="eastAsia"/>
          <w:lang w:eastAsia="zh-CN"/>
        </w:rPr>
        <w:t>第四章　报名表及</w:t>
      </w:r>
      <w:r>
        <w:rPr>
          <w:rFonts w:hint="eastAsia"/>
        </w:rPr>
        <w:t>投标文件格</w:t>
      </w:r>
      <w:r>
        <w:rPr>
          <w:rFonts w:hint="eastAsia"/>
          <w:lang w:eastAsia="zh-CN"/>
        </w:rPr>
        <w:t>式</w:t>
      </w:r>
      <w:bookmarkEnd w:id="30"/>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组织固定液等医用耗材（第三次）采购项目</w:t>
      </w:r>
    </w:p>
    <w:tbl>
      <w:tblPr>
        <w:tblStyle w:val="20"/>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1" w:name="_Toc217446085"/>
      <w:r>
        <w:rPr>
          <w:rFonts w:hint="eastAsia" w:ascii="仿宋_GB2312" w:hAnsi="仿宋_GB2312" w:eastAsia="仿宋_GB2312" w:cs="仿宋_GB2312"/>
          <w:b w:val="0"/>
          <w:bCs/>
          <w:sz w:val="24"/>
          <w:szCs w:val="24"/>
        </w:rPr>
        <w:t>开标一览表</w:t>
      </w:r>
      <w:bookmarkEnd w:id="3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组织固定液等医用耗材（第三次）采购项目</w:t>
      </w:r>
    </w:p>
    <w:tbl>
      <w:tblPr>
        <w:tblStyle w:val="20"/>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9"/>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2"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2"/>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11"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3"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3"/>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74</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3E41F38"/>
    <w:rsid w:val="06A305E5"/>
    <w:rsid w:val="09F22FF5"/>
    <w:rsid w:val="0A4346AA"/>
    <w:rsid w:val="0A4C7111"/>
    <w:rsid w:val="0A5159BE"/>
    <w:rsid w:val="0B56279E"/>
    <w:rsid w:val="0BAB3B9A"/>
    <w:rsid w:val="0D5039F1"/>
    <w:rsid w:val="0D5A1E98"/>
    <w:rsid w:val="0E6416B3"/>
    <w:rsid w:val="0FCC5BE4"/>
    <w:rsid w:val="100F5D13"/>
    <w:rsid w:val="102854E6"/>
    <w:rsid w:val="11C20CDA"/>
    <w:rsid w:val="14631B3A"/>
    <w:rsid w:val="16126D0C"/>
    <w:rsid w:val="16214E82"/>
    <w:rsid w:val="16331E02"/>
    <w:rsid w:val="18836C21"/>
    <w:rsid w:val="1905296B"/>
    <w:rsid w:val="198405CB"/>
    <w:rsid w:val="1C290724"/>
    <w:rsid w:val="1D2221C0"/>
    <w:rsid w:val="1E174AC7"/>
    <w:rsid w:val="1FD13655"/>
    <w:rsid w:val="20874A11"/>
    <w:rsid w:val="22856871"/>
    <w:rsid w:val="23C74069"/>
    <w:rsid w:val="23F15E6E"/>
    <w:rsid w:val="25833166"/>
    <w:rsid w:val="280E7B48"/>
    <w:rsid w:val="2996474C"/>
    <w:rsid w:val="2B106C7F"/>
    <w:rsid w:val="2D6B6A8F"/>
    <w:rsid w:val="2DD21197"/>
    <w:rsid w:val="2F441CB2"/>
    <w:rsid w:val="32536FD3"/>
    <w:rsid w:val="32720D7F"/>
    <w:rsid w:val="33CB6621"/>
    <w:rsid w:val="34FF0B5C"/>
    <w:rsid w:val="38965316"/>
    <w:rsid w:val="3A632565"/>
    <w:rsid w:val="3BFC01EF"/>
    <w:rsid w:val="3D1F7B5B"/>
    <w:rsid w:val="405F2916"/>
    <w:rsid w:val="433E11C8"/>
    <w:rsid w:val="44E02E01"/>
    <w:rsid w:val="44E96280"/>
    <w:rsid w:val="46801FBD"/>
    <w:rsid w:val="46AA3511"/>
    <w:rsid w:val="470D2A02"/>
    <w:rsid w:val="47162FEE"/>
    <w:rsid w:val="47203FB7"/>
    <w:rsid w:val="47240CAD"/>
    <w:rsid w:val="476C749F"/>
    <w:rsid w:val="497824CD"/>
    <w:rsid w:val="50DD6FFE"/>
    <w:rsid w:val="57AF56A8"/>
    <w:rsid w:val="5A734F3D"/>
    <w:rsid w:val="5B7C0B95"/>
    <w:rsid w:val="5C8D1ED9"/>
    <w:rsid w:val="5D7F0CC2"/>
    <w:rsid w:val="5EF56C44"/>
    <w:rsid w:val="631A1F65"/>
    <w:rsid w:val="64BF1D1B"/>
    <w:rsid w:val="65F838D3"/>
    <w:rsid w:val="662237A8"/>
    <w:rsid w:val="66311611"/>
    <w:rsid w:val="665874BF"/>
    <w:rsid w:val="69090096"/>
    <w:rsid w:val="694845C2"/>
    <w:rsid w:val="6BF0276C"/>
    <w:rsid w:val="6CF407B5"/>
    <w:rsid w:val="71744923"/>
    <w:rsid w:val="71A21CC7"/>
    <w:rsid w:val="73C743D0"/>
    <w:rsid w:val="74B507B1"/>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83729c-d0cf-401a-a706-9cfcbc5b6775}"/>
        <w:style w:val=""/>
        <w:category>
          <w:name w:val="常规"/>
          <w:gallery w:val="placeholder"/>
        </w:category>
        <w:types>
          <w:type w:val="bbPlcHdr"/>
        </w:types>
        <w:behaviors>
          <w:behavior w:val="content"/>
        </w:behaviors>
        <w:description w:val=""/>
        <w:guid w:val="{3783729c-d0cf-401a-a706-9cfcbc5b6775}"/>
      </w:docPartPr>
      <w:docPartBody>
        <w:p>
          <w:r>
            <w:rPr>
              <w:color w:val="808080"/>
            </w:rPr>
            <w:t>单击此处输入文字。</w:t>
          </w:r>
        </w:p>
      </w:docPartBody>
    </w:docPart>
    <w:docPart>
      <w:docPartPr>
        <w:name w:val="{fa4631ea-5a88-44f6-b8fc-d44abec4ab39}"/>
        <w:style w:val=""/>
        <w:category>
          <w:name w:val="常规"/>
          <w:gallery w:val="placeholder"/>
        </w:category>
        <w:types>
          <w:type w:val="bbPlcHdr"/>
        </w:types>
        <w:behaviors>
          <w:behavior w:val="content"/>
        </w:behaviors>
        <w:description w:val=""/>
        <w:guid w:val="{fa4631ea-5a88-44f6-b8fc-d44abec4ab39}"/>
      </w:docPartPr>
      <w:docPartBody>
        <w:p>
          <w:r>
            <w:rPr>
              <w:color w:val="808080"/>
            </w:rPr>
            <w:t>单击此处输入文字。</w:t>
          </w:r>
        </w:p>
      </w:docPartBody>
    </w:docPart>
    <w:docPart>
      <w:docPartPr>
        <w:name w:val="{21d72e78-5b53-4f44-a3f8-9ed00110adc2}"/>
        <w:style w:val=""/>
        <w:category>
          <w:name w:val="常规"/>
          <w:gallery w:val="placeholder"/>
        </w:category>
        <w:types>
          <w:type w:val="bbPlcHdr"/>
        </w:types>
        <w:behaviors>
          <w:behavior w:val="content"/>
        </w:behaviors>
        <w:description w:val=""/>
        <w:guid w:val="{21d72e78-5b53-4f44-a3f8-9ed00110adc2}"/>
      </w:docPartPr>
      <w:docPartBody>
        <w:p>
          <w:r>
            <w:rPr>
              <w:color w:val="808080"/>
            </w:rPr>
            <w:t>单击此处输入文字。</w:t>
          </w:r>
        </w:p>
      </w:docPartBody>
    </w:docPart>
    <w:docPart>
      <w:docPartPr>
        <w:name w:val="{a43bc91d-b64f-4dca-9eb2-a545eb2833fd}"/>
        <w:style w:val=""/>
        <w:category>
          <w:name w:val="常规"/>
          <w:gallery w:val="placeholder"/>
        </w:category>
        <w:types>
          <w:type w:val="bbPlcHdr"/>
        </w:types>
        <w:behaviors>
          <w:behavior w:val="content"/>
        </w:behaviors>
        <w:description w:val=""/>
        <w:guid w:val="{a43bc91d-b64f-4dca-9eb2-a545eb2833fd}"/>
      </w:docPartPr>
      <w:docPartBody>
        <w:p>
          <w:r>
            <w:rPr>
              <w:color w:val="808080"/>
            </w:rPr>
            <w:t>单击此处输入文字。</w:t>
          </w:r>
        </w:p>
      </w:docPartBody>
    </w:docPart>
    <w:docPart>
      <w:docPartPr>
        <w:name w:val="{0c75bb9f-769f-4104-a05f-f9c2ada63fb6}"/>
        <w:style w:val=""/>
        <w:category>
          <w:name w:val="常规"/>
          <w:gallery w:val="placeholder"/>
        </w:category>
        <w:types>
          <w:type w:val="bbPlcHdr"/>
        </w:types>
        <w:behaviors>
          <w:behavior w:val="content"/>
        </w:behaviors>
        <w:description w:val=""/>
        <w:guid w:val="{0c75bb9f-769f-4104-a05f-f9c2ada63fb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45</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2019-07-24T05:52:12Z</cp:lastPrinted>
  <dcterms:modified xsi:type="dcterms:W3CDTF">2019-07-24T05:54:18Z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