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6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检验、病理用设备及耗材（具体见报名表）：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1.艾滋病病毒载量检测仪；2.血气分析仪；3.全自动生化分析仪；4.孵育培养箱；5.生物安全柜；6.真菌培养鉴定药敏判读系统；7.全自动细菌鉴定药敏分析系统；8.维生素检测仪；9.血沉分析仪；10.全自动粪便分析仪等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2020年3月27日～4月2日（5个工作日）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2. 邮件名称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检验、病理用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设备及耗材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检验、病理用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设备及耗材</w:t>
            </w:r>
            <w:r>
              <w:rPr>
                <w:rFonts w:hint="eastAsia" w:ascii="仿宋_GB2312" w:hAnsi="宋体" w:eastAsia="仿宋_GB2312"/>
                <w:b/>
                <w:bCs/>
              </w:rPr>
              <w:t>调研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检验、病理用设备及耗材</w:t>
      </w:r>
    </w:p>
    <w:tbl>
      <w:tblPr>
        <w:tblStyle w:val="7"/>
        <w:tblW w:w="10329" w:type="dxa"/>
        <w:jc w:val="center"/>
        <w:tblInd w:w="-1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327"/>
        <w:gridCol w:w="806"/>
        <w:gridCol w:w="1319"/>
        <w:gridCol w:w="1248"/>
        <w:gridCol w:w="919"/>
        <w:gridCol w:w="112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生产公司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注册证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挂网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流水号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采购预算（万元）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艾滋病病毒载量检测仪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1.1-1.n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艾滋病病毒载量检测仪配套耗材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血气分析仪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2.2-2.n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血气分析仪配套血气检测试纸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全自动生化分析仪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孵育培养箱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生物安全柜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真菌培养鉴定药敏判读系统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6.2-6.n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真菌培养鉴定药敏判读系统配套耗材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全自动细菌鉴定药敏分析系统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7.2-7.n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全自动细菌鉴定药敏分析系统配套耗材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维生素检测仪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8.2-8.n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维生素检测仪配套耗材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血沉分析仪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全自动粪便分析仪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10.2-10.n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全自动粪便分析仪配套耗材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全自动阴道分泌物分析仪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11.2-11.n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全自动阴道分泌物分析仪配套耗材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血细胞分析流水线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12.2-12.n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血细胞分析流水线配套耗材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全自动凝血分析仪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13.2-13.n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全自动凝血分析仪配套耗材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全自动化学发光分析仪（血栓四项检测）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14.2-14.n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全自动化学发光分析仪（血栓四项检测）配套耗材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血气分析仪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15.2-15.n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血气分析仪配套耗材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全自动生化分析试剂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人免疫球蛋白G4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神经丝蛋白AD7C-NTP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新型隐球菌荚膜抗原测定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肺癌七种自身抗体分子检测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胸苷激酶检测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抗心磷脂抗体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狼疮抗凝物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叶酸受体细胞检测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遗传性耳聋基因检测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B簇链球菌检测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乳腺癌基因（BRCA1、BRCA2）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幽门螺旋杆菌培养及药敏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各种多重耐药筛查显色平板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可溶性生长刺激表达基因2蛋白（ST2）检测试剂盒（酶联免疫法）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可溶性生长刺激表达基因2蛋白（ST2）检测质控品（酶联免疫法）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抗精子抗体测定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抗子宫内膜抗体测定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抗胰岛素受体抗体测定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肿瘤坏死因子测定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丁型肝炎抗体测定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戊型肝炎抗体测定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庚型肝炎抗体测定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寄生虫抗体测定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支原体、衣原体培养及药敏试剂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各类培养基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各项药敏纸片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血清蛋白电泳试剂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电泳仪配套耗材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血红蛋白电泳试剂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电泳仪配套耗材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免疫固定电泳试剂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电泳仪配套耗材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血清Ⅳ型胶原测定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血清Ⅲ型胶原测定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血清层粘连蛋白测定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血清透明质酸酶测定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糖类抗原ca24-2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糖类抗原ca50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乙型肝炎表面前S抗原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丙型肝炎抗原测定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白介素6测定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人附睾蛋白（HE4）测定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胃泌素释放肽前体测定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胰岛素测定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C肽测定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皮质醇测定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甲状旁腺激素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胃蛋白酶原I、胃蛋白酶原II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高血压四项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反三碘甲状腺原氨酸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TORCH四项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1型胶原羧基端前肽（PICP）测定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骨钙素N端中分子片段测定（N-MID）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β-胶原降解产物测定（β-CTX)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化学发光配套耗材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68.1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原位杂交仪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68.2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EBV原位杂交检测试剂盒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68.3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HPV6/11型原位杂交检测试剂盒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68.4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HPV16/18原位杂交检测试剂盒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68.5-68.n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原位杂交仪配套试剂耗材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配套耗材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32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病理切片机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病理科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电话：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年　　　月　　　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请不要修改序号。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序号16，全自动生化分析仪耗材及试剂属于开放性试剂，报名最多可报3个品牌，请尽量把试剂项目报全。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序号41，请尽量把试剂项目报全。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序号42，请尽量把试剂项目报全。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序号43-45，全自动电泳仪分析系统配套试剂及耗材，现设备品牌规格：海伦娜SPIFE3000，可把除43-45的试剂项目报全。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序号46-67，全自动化学发光免疫分析仪配套试剂及耗材，现设备品牌规格：罗氏E601\E602、迈瑞CL-6000i、西门子ADVIA Centaur XP，可把除46-67的试剂项目报全。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序号68-69，病理科用设备耗材，请尽量把试剂项目报全。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41" w:right="1417" w:bottom="192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5AD2C09"/>
    <w:rsid w:val="070E46FE"/>
    <w:rsid w:val="08031538"/>
    <w:rsid w:val="0B191104"/>
    <w:rsid w:val="0B1C57FC"/>
    <w:rsid w:val="0B503903"/>
    <w:rsid w:val="0F7F0486"/>
    <w:rsid w:val="159E6E26"/>
    <w:rsid w:val="178D2F66"/>
    <w:rsid w:val="196B2C7D"/>
    <w:rsid w:val="1B356F95"/>
    <w:rsid w:val="1BAC3437"/>
    <w:rsid w:val="22EA08A6"/>
    <w:rsid w:val="237B30F4"/>
    <w:rsid w:val="25557ADA"/>
    <w:rsid w:val="261349D0"/>
    <w:rsid w:val="275F7780"/>
    <w:rsid w:val="2BEE73D9"/>
    <w:rsid w:val="2D25096A"/>
    <w:rsid w:val="2F2843C6"/>
    <w:rsid w:val="314839FA"/>
    <w:rsid w:val="329B096B"/>
    <w:rsid w:val="33E749D2"/>
    <w:rsid w:val="343631ED"/>
    <w:rsid w:val="371C297C"/>
    <w:rsid w:val="3A841338"/>
    <w:rsid w:val="3BD03392"/>
    <w:rsid w:val="409B7619"/>
    <w:rsid w:val="41C66577"/>
    <w:rsid w:val="450F3986"/>
    <w:rsid w:val="46AD158D"/>
    <w:rsid w:val="4842378B"/>
    <w:rsid w:val="49477B36"/>
    <w:rsid w:val="49707497"/>
    <w:rsid w:val="4F7A22DE"/>
    <w:rsid w:val="54737522"/>
    <w:rsid w:val="54D526CD"/>
    <w:rsid w:val="57407BB1"/>
    <w:rsid w:val="5F4321AB"/>
    <w:rsid w:val="62366EF8"/>
    <w:rsid w:val="628F6891"/>
    <w:rsid w:val="63362C29"/>
    <w:rsid w:val="65A10C7E"/>
    <w:rsid w:val="6AAB2A64"/>
    <w:rsid w:val="6B4455D0"/>
    <w:rsid w:val="6FCC249C"/>
    <w:rsid w:val="71535B7A"/>
    <w:rsid w:val="76733F92"/>
    <w:rsid w:val="776B034D"/>
    <w:rsid w:val="7817479B"/>
    <w:rsid w:val="7C323A2A"/>
    <w:rsid w:val="7DF436EC"/>
    <w:rsid w:val="7E3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4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2020-03-24T08:06:00Z</cp:lastPrinted>
  <dcterms:modified xsi:type="dcterms:W3CDTF">2020-03-26T09:18:06Z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