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家具采购项目</w:t>
      </w: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p>
      <w:pPr>
        <w:pStyle w:val="2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仿宋_GB2312" w:hAnsi="Arial" w:eastAsia="仿宋_GB2312" w:cs="Arial"/>
          <w:spacing w:val="-2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44"/>
          <w:szCs w:val="44"/>
          <w:lang w:val="en-US" w:eastAsia="zh-CN"/>
        </w:rPr>
        <w:t>医院家具采购项目报价表</w:t>
      </w:r>
    </w:p>
    <w:tbl>
      <w:tblPr>
        <w:tblStyle w:val="5"/>
        <w:tblpPr w:leftFromText="180" w:rightFromText="180" w:vertAnchor="text" w:horzAnchor="page" w:tblpX="772" w:tblpY="619"/>
        <w:tblOverlap w:val="never"/>
        <w:tblW w:w="10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645"/>
        <w:gridCol w:w="735"/>
        <w:gridCol w:w="570"/>
        <w:gridCol w:w="630"/>
        <w:gridCol w:w="660"/>
        <w:gridCol w:w="870"/>
        <w:gridCol w:w="2415"/>
        <w:gridCol w:w="3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品名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单价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金额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图片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7" w:hRule="atLeast"/>
        </w:trPr>
        <w:tc>
          <w:tcPr>
            <w:tcW w:w="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2000*900*1800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2" name="Picture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3" name="Picture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4" name="Picture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5" name="Picture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6" name="Picture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7" name="Picture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8" name="Picture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325" cy="315595"/>
                  <wp:effectExtent l="0" t="0" r="0" b="0"/>
                  <wp:wrapNone/>
                  <wp:docPr id="9" name="Picture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10" name="Picture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11" name="Picture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12" name="Picture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13" name="Picture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14" name="Picture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3530"/>
                  <wp:effectExtent l="0" t="0" r="0" b="0"/>
                  <wp:wrapNone/>
                  <wp:docPr id="15" name="Picture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514350</wp:posOffset>
                  </wp:positionV>
                  <wp:extent cx="1536700" cy="1446530"/>
                  <wp:effectExtent l="0" t="0" r="6350" b="1270"/>
                  <wp:wrapTopAndBottom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4465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17" name="Picture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18" name="Picture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3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19" name="Picture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0" name="Picture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1" name="Picture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960" cy="315595"/>
                  <wp:effectExtent l="0" t="0" r="0" b="0"/>
                  <wp:wrapNone/>
                  <wp:docPr id="22" name="Picture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3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6" name="Picture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8" name="Picture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4" name="Picture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4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7" name="Picture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3" name="Picture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4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5" name="Picture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29" name="Picture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3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1" name="Picture_3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322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0" name="Picture_3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31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960" cy="315595"/>
                  <wp:effectExtent l="0" t="0" r="0" b="0"/>
                  <wp:wrapNone/>
                  <wp:docPr id="31" name="Picture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3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2" name="Picture_3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321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3" name="Picture_3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319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4" name="Picture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3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5" name="Picture_3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318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6" name="Picture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3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7" name="Picture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8" name="Picture_3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32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39" name="Picture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0" name="Picture_3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319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1" name="Picture_3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32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2" name="Picture_4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424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3" name="Picture_4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422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4" name="Picture_4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423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5" name="Picture_4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421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6" name="Picture_4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424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7" name="Picture_4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_42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8" name="Picture_4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_423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303530"/>
                  <wp:effectExtent l="0" t="0" r="0" b="0"/>
                  <wp:wrapNone/>
                  <wp:docPr id="49" name="Picture_4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_42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公寓床参数 材质：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1、横梁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立柱采用1.2mm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2、公寓床具有防止晃动的功能、结构。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床横梁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采用70*38*1.2mm的加强矩管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2、床立柱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采用60*60*1.2mm圆弧型材，无锐角，避免对人体的伤害。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3、立柱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上段封口处与床端上横钢管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无锐角。梯子脚踏板采用吹塑防滑脚踏板。护栏月型吹塑竖 支架。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4、架体全扣件挂扣式组合，易于拆装和二次搬迁，连接卡扣图；钢架符合GB/T3325-2017《金属家具通用技术条件》标准。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投标人或制造厂家提供具有CMA标志的公寓床检验报告。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3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钢木办公桌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1400*700*750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877695" cy="1117600"/>
                  <wp:effectExtent l="0" t="0" r="8255" b="6350"/>
                  <wp:docPr id="5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1、基材：选用E1级覆膜饰面板，基材双面贴MFC同色饰面板。密度0.6—0.9g/cm3,含水率达3.0%—13.0%，甲醛释放量E1≤0.124mg/m3；符合GB 18580-2017《室内装饰装修材料 人造板及其制品中甲醛释放限量》。投标人提供具有CMA标志的E1级覆膜饰面板检验报告。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2、封边：采用优质PVC封边条封边，要求平整顺滑无缝隙，符合QB/T4463-2013《家具用封边条技术要求》标准，甲醛释放量E1≤1.2mg/L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3、五金配件：采用五金配件，锁具符合GB/T3325-2017《金属家具通用技术条件》标准。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4、脚架：采用优质钢脚架，简洁耐用。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5、投标人或制造厂家提供钢木办公桌检验报告。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3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1800*850*400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00735" cy="1546225"/>
                  <wp:effectExtent l="0" t="0" r="18415" b="15875"/>
                  <wp:docPr id="5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1、基材：选用优质冷轧钢板，符合GB/T3325-2017《金属家具通用技术条件》标准，经表面处理后主材厚度为0.8MM。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2、钢板喷涂使用静电粉末涂料；符合GB18584-2001《室内装饰装修材料 木家具中有害物质限量》标准，重金属含量包含：铅、镉、铬、汞；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、钣金件无毛刺、无裂缝、无伤痕，焊接件焊接牢固、不松动；焊痕光滑、平整；灰色涂层不含重金属、有机挥发物；盐雾检验、抗色衰检验达国家标准；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、投标人或制造厂家提供具有CMA标志的钢制文件柜检验报告。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1950*900*500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05510" cy="1616710"/>
                  <wp:effectExtent l="0" t="0" r="8890" b="2540"/>
                  <wp:docPr id="5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1、基材：选用优质冷轧钢板，符合GB/T3325-2017《金属家具通用技术条件》标准，经表面处理后主材厚度为0.8MM。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2、钢板喷涂使用静电粉末涂料；符合GB18584-2001《室内装饰装修材料 木家具中有害物质限量》标准，重金属含量包含：铅、镉、铬、汞；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、钣金件无毛刺、无裂缝、无伤痕，焊接件焊接牢固、不松动；焊痕光滑、平整；灰色涂层不含重金属、有机挥发物；盐雾检验、抗色衰检验达国家标准；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、投标人或制造厂家提供具有CMA标志的钢制文件柜检验报告。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三门更衣柜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1950*900*500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781685" cy="1306195"/>
                  <wp:effectExtent l="0" t="0" r="18415" b="8255"/>
                  <wp:docPr id="5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1、基材：选用优质冷轧钢板，符合GB/T3325-2017《金属家具通用技术条件》标准，经表面处理后主材厚度为0.8MM。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2、钢板喷涂使用静电粉末涂料；符合GB18584-2001《室内装饰装修材料 木家具中有害物质限量》标准，重金属含量包含：铅、镉、铬、汞；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、钣金件无毛刺、无裂缝、无伤痕，焊接件焊接牢固、不松动；焊痕光滑、平整；灰色涂层不含重金属、有机挥发物；盐雾检验、抗色衰检验达国家标准；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、投标人或制造厂家提供具有CMA标志的钢制文件柜检验报告。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九门更衣柜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1950*900*500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848360" cy="1085850"/>
                  <wp:effectExtent l="0" t="0" r="8890" b="0"/>
                  <wp:docPr id="54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1、基材：选用优质冷轧钢板，符合GB/T3325-2017《金属家具通用技术条件》标准，经表面处理后主材厚度为0.8MM。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2、钢板喷涂使用静电粉末涂料；符合GB18584-2001《室内装饰装修材料 木家具中有害物质限量》标准，重金属含量包含：铅、镉、铬、汞；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、钣金件无毛刺、无裂缝、无伤痕，焊接件焊接牢固、不松动；焊痕光滑、平整；灰色涂层不含重金属、有机挥发物；盐雾检验、抗色衰检验达国家标准；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、投标人或制造厂家提供具有CMA标志的钢制文件柜检验报告。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钢架网椅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037590" cy="1335405"/>
                  <wp:effectExtent l="0" t="0" r="10160" b="17145"/>
                  <wp:docPr id="55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座背面料为优质网布，内包泡沫要求符合QB/T4370-2012《家具用软质阻燃聚氨酯泡沫塑料》，其回弹性达到≥35%要求。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2、框架：扶手采用尼龙材质一体注塑成型，无螺丝连接，成整体结构。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、椅架：钢管脚架，脚垫不会刮花地板，防锈、防腐处理，经久耐用。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4、投标人提供具有CMA标志的弓架网椅检验报告。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(投标人提供实物样品一把）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871" w:right="1474" w:bottom="152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5908"/>
    <w:multiLevelType w:val="singleLevel"/>
    <w:tmpl w:val="444359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2331B8D"/>
    <w:rsid w:val="02862136"/>
    <w:rsid w:val="041C44F4"/>
    <w:rsid w:val="04365FD2"/>
    <w:rsid w:val="056257E7"/>
    <w:rsid w:val="0594724D"/>
    <w:rsid w:val="05AD5C47"/>
    <w:rsid w:val="05B64B1B"/>
    <w:rsid w:val="06201E06"/>
    <w:rsid w:val="080D7EF0"/>
    <w:rsid w:val="083E5776"/>
    <w:rsid w:val="091E0E86"/>
    <w:rsid w:val="0A51668C"/>
    <w:rsid w:val="0A660C00"/>
    <w:rsid w:val="0B503903"/>
    <w:rsid w:val="143122D0"/>
    <w:rsid w:val="14A55BEF"/>
    <w:rsid w:val="14C3508F"/>
    <w:rsid w:val="160C46D7"/>
    <w:rsid w:val="165724CF"/>
    <w:rsid w:val="19FE0F53"/>
    <w:rsid w:val="1B4F45A6"/>
    <w:rsid w:val="1B930F64"/>
    <w:rsid w:val="1CA86E19"/>
    <w:rsid w:val="21456683"/>
    <w:rsid w:val="21F75637"/>
    <w:rsid w:val="229B52BE"/>
    <w:rsid w:val="22EA08A6"/>
    <w:rsid w:val="231E5608"/>
    <w:rsid w:val="237B30F4"/>
    <w:rsid w:val="23930C35"/>
    <w:rsid w:val="253742C7"/>
    <w:rsid w:val="275F7780"/>
    <w:rsid w:val="277E302C"/>
    <w:rsid w:val="2A1E1039"/>
    <w:rsid w:val="2B013704"/>
    <w:rsid w:val="2E484CA8"/>
    <w:rsid w:val="2F0552C1"/>
    <w:rsid w:val="2F2843C6"/>
    <w:rsid w:val="3040486D"/>
    <w:rsid w:val="30484D9E"/>
    <w:rsid w:val="33961424"/>
    <w:rsid w:val="33E749D2"/>
    <w:rsid w:val="341D4BE2"/>
    <w:rsid w:val="343631ED"/>
    <w:rsid w:val="371C297C"/>
    <w:rsid w:val="38571993"/>
    <w:rsid w:val="3BBC17C7"/>
    <w:rsid w:val="3E3C62CA"/>
    <w:rsid w:val="3F850146"/>
    <w:rsid w:val="3FDD7E13"/>
    <w:rsid w:val="406204B1"/>
    <w:rsid w:val="425551A5"/>
    <w:rsid w:val="45EE0525"/>
    <w:rsid w:val="46AD158D"/>
    <w:rsid w:val="47F35EA9"/>
    <w:rsid w:val="4842378B"/>
    <w:rsid w:val="49477B36"/>
    <w:rsid w:val="49835C93"/>
    <w:rsid w:val="49BC371E"/>
    <w:rsid w:val="4B235B14"/>
    <w:rsid w:val="4B7E48C8"/>
    <w:rsid w:val="4C5E06E1"/>
    <w:rsid w:val="4E5A446A"/>
    <w:rsid w:val="4F7A22DE"/>
    <w:rsid w:val="54610157"/>
    <w:rsid w:val="546645F1"/>
    <w:rsid w:val="55446B81"/>
    <w:rsid w:val="56327C6C"/>
    <w:rsid w:val="57407BB1"/>
    <w:rsid w:val="575C3DF4"/>
    <w:rsid w:val="58AD50FD"/>
    <w:rsid w:val="58B42629"/>
    <w:rsid w:val="5AC92C08"/>
    <w:rsid w:val="5D6B70D4"/>
    <w:rsid w:val="5DEC0B0C"/>
    <w:rsid w:val="5DEF5BC3"/>
    <w:rsid w:val="5F4321AB"/>
    <w:rsid w:val="616B532A"/>
    <w:rsid w:val="61B861D5"/>
    <w:rsid w:val="64067836"/>
    <w:rsid w:val="65933938"/>
    <w:rsid w:val="65A10C7E"/>
    <w:rsid w:val="67D46CB3"/>
    <w:rsid w:val="68535425"/>
    <w:rsid w:val="68F072A5"/>
    <w:rsid w:val="69CA1E67"/>
    <w:rsid w:val="6AD17186"/>
    <w:rsid w:val="6F185E5F"/>
    <w:rsid w:val="6F483C31"/>
    <w:rsid w:val="707C65DE"/>
    <w:rsid w:val="71080A7C"/>
    <w:rsid w:val="721464FF"/>
    <w:rsid w:val="731845BB"/>
    <w:rsid w:val="73BC41FC"/>
    <w:rsid w:val="76235CCD"/>
    <w:rsid w:val="76510ECB"/>
    <w:rsid w:val="76582158"/>
    <w:rsid w:val="765F0B54"/>
    <w:rsid w:val="776B034D"/>
    <w:rsid w:val="77D21E7F"/>
    <w:rsid w:val="7A715C89"/>
    <w:rsid w:val="7A7229C6"/>
    <w:rsid w:val="7C2C0EB0"/>
    <w:rsid w:val="7C323A2A"/>
    <w:rsid w:val="7D0865D7"/>
    <w:rsid w:val="7DF436EC"/>
    <w:rsid w:val="7F6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9</TotalTime>
  <ScaleCrop>false</ScaleCrop>
  <LinksUpToDate>false</LinksUpToDate>
  <CharactersWithSpaces>668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Sun</cp:lastModifiedBy>
  <cp:lastPrinted>2020-06-15T03:00:00Z</cp:lastPrinted>
  <dcterms:modified xsi:type="dcterms:W3CDTF">2020-06-15T05:40:39Z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