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63"/>
        <w:gridCol w:w="1181"/>
        <w:gridCol w:w="1079"/>
        <w:gridCol w:w="5386"/>
        <w:gridCol w:w="850"/>
        <w:gridCol w:w="820"/>
        <w:gridCol w:w="1110"/>
        <w:gridCol w:w="1110"/>
        <w:gridCol w:w="917"/>
        <w:gridCol w:w="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pct"/>
          <w:trHeight w:val="1134" w:hRule="atLeast"/>
          <w:jc w:val="center"/>
        </w:trPr>
        <w:tc>
          <w:tcPr>
            <w:tcW w:w="4934" w:type="pct"/>
            <w:gridSpan w:val="10"/>
            <w:tcBorders>
              <w:top w:val="nil"/>
              <w:left w:val="nil"/>
              <w:bottom w:val="nil"/>
              <w:right w:val="nil"/>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val="en-US" w:eastAsia="zh-CN"/>
              </w:rPr>
              <w:t>资阳市第一人民医院网络设备采购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gridSpan w:val="11"/>
            <w:tcBorders>
              <w:top w:val="nil"/>
              <w:left w:val="nil"/>
              <w:bottom w:val="single" w:color="auto" w:sz="4" w:space="0"/>
              <w:right w:val="nil"/>
            </w:tcBorders>
            <w:shd w:val="clear" w:color="auto" w:fill="auto"/>
            <w:noWrap/>
            <w:vAlign w:val="center"/>
          </w:tcPr>
          <w:p>
            <w:pPr>
              <w:widowControl/>
              <w:spacing w:line="360" w:lineRule="exact"/>
              <w:jc w:val="right"/>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序号</w:t>
            </w:r>
          </w:p>
        </w:tc>
        <w:tc>
          <w:tcPr>
            <w:tcW w:w="459"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名称</w:t>
            </w:r>
          </w:p>
        </w:tc>
        <w:tc>
          <w:tcPr>
            <w:tcW w:w="398" w:type="pct"/>
            <w:tcBorders>
              <w:top w:val="single" w:color="auto" w:sz="4" w:space="0"/>
            </w:tcBorders>
            <w:shd w:val="clear" w:color="auto" w:fill="auto"/>
            <w:vAlign w:val="center"/>
          </w:tcPr>
          <w:p>
            <w:pPr>
              <w:widowControl/>
              <w:spacing w:line="360" w:lineRule="exact"/>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品牌</w:t>
            </w:r>
          </w:p>
        </w:tc>
        <w:tc>
          <w:tcPr>
            <w:tcW w:w="363" w:type="pct"/>
            <w:tcBorders>
              <w:top w:val="single" w:color="auto" w:sz="4" w:space="0"/>
            </w:tcBorders>
            <w:shd w:val="clear" w:color="auto" w:fill="auto"/>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型号</w:t>
            </w:r>
          </w:p>
        </w:tc>
        <w:tc>
          <w:tcPr>
            <w:tcW w:w="1816" w:type="pct"/>
            <w:tcBorders>
              <w:top w:val="single" w:color="auto" w:sz="4" w:space="0"/>
            </w:tcBorders>
            <w:shd w:val="clear" w:color="auto" w:fill="auto"/>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配置及详细的技术指标和参数</w:t>
            </w:r>
          </w:p>
        </w:tc>
        <w:tc>
          <w:tcPr>
            <w:tcW w:w="286"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数量</w:t>
            </w:r>
          </w:p>
        </w:tc>
        <w:tc>
          <w:tcPr>
            <w:tcW w:w="276"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单位</w:t>
            </w:r>
          </w:p>
        </w:tc>
        <w:tc>
          <w:tcPr>
            <w:tcW w:w="374"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val="en-US" w:eastAsia="zh-CN"/>
              </w:rPr>
              <w:t>单价</w:t>
            </w:r>
          </w:p>
        </w:tc>
        <w:tc>
          <w:tcPr>
            <w:tcW w:w="374" w:type="pct"/>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val="en-US" w:eastAsia="zh-CN"/>
              </w:rPr>
              <w:t>合计</w:t>
            </w:r>
          </w:p>
        </w:tc>
        <w:tc>
          <w:tcPr>
            <w:tcW w:w="374" w:type="pct"/>
            <w:gridSpan w:val="2"/>
            <w:tcBorders>
              <w:top w:val="single" w:color="auto" w:sz="4" w:space="0"/>
            </w:tcBorders>
            <w:shd w:val="clear" w:color="auto" w:fill="auto"/>
            <w:noWrap/>
            <w:vAlign w:val="center"/>
          </w:tcPr>
          <w:p>
            <w:pPr>
              <w:widowControl/>
              <w:spacing w:line="360" w:lineRule="exact"/>
              <w:jc w:val="center"/>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w:t>
            </w:r>
          </w:p>
        </w:tc>
        <w:tc>
          <w:tcPr>
            <w:tcW w:w="459" w:type="pct"/>
            <w:shd w:val="clear" w:color="auto" w:fill="auto"/>
            <w:noWrap/>
            <w:vAlign w:val="center"/>
          </w:tcPr>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防火墙</w:t>
            </w:r>
          </w:p>
        </w:tc>
        <w:tc>
          <w:tcPr>
            <w:tcW w:w="398" w:type="pct"/>
            <w:shd w:val="clear" w:color="auto" w:fill="auto"/>
            <w:vAlign w:val="center"/>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16" w:type="pct"/>
            <w:shd w:val="clear" w:color="auto" w:fill="auto"/>
            <w:vAlign w:val="top"/>
          </w:tcPr>
          <w:p>
            <w:pPr>
              <w:pStyle w:val="5"/>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网络层吞吐量≥30G，应用层吞吐量≥7G，并发连接数≥2200000，新建连接数（CPS）≥80000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不少于6个千兆电口，2个万兆光口</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为确保设备漏洞扫描能力，要求设备具有Web漏洞扫描功能，能够扫描检测网站是否存在跨站脚本、目录遍历、SQL注入、XSS、命令执行等脚本漏洞，从而及时进行Web漏洞防护；</w:t>
            </w:r>
          </w:p>
          <w:p>
            <w:p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3.具备对未知威胁检测能力</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4.为了保证防护全面性，要求设备必须能够自动发现新增资产并进行资产脆弱性评估，能够自动检测出未配置安全策略并自动告警，从而提升防护的全面性</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5.为确保设备漏洞扫描能力，要求设备具有Web漏洞扫描功能，能够扫描检测网站是否存在跨站脚本</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为保障网站安全，要求设备能够对网站黑链进行检测，发现植入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的</w:t>
            </w:r>
            <w:r>
              <w:rPr>
                <w:rFonts w:hint="eastAsia" w:asciiTheme="majorEastAsia" w:hAnsiTheme="majorEastAsia" w:eastAsiaTheme="majorEastAsia" w:cstheme="majorEastAsia"/>
                <w:color w:val="000000" w:themeColor="text1"/>
                <w:sz w:val="24"/>
                <w:szCs w:val="24"/>
                <w14:textFill>
                  <w14:solidFill>
                    <w14:schemeClr w14:val="tx1"/>
                  </w14:solidFill>
                </w14:textFill>
              </w:rPr>
              <w:t>网站黑链</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numPr>
                <w:ilvl w:val="0"/>
                <w:numId w:val="0"/>
              </w:num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7.产品提供3年软件升级，3年质保，厂商具备CMMI5证书。</w:t>
            </w:r>
          </w:p>
        </w:tc>
        <w:tc>
          <w:tcPr>
            <w:tcW w:w="286" w:type="pct"/>
            <w:shd w:val="clear" w:color="auto" w:fill="auto"/>
            <w:noWrap/>
            <w:vAlign w:val="center"/>
          </w:tcPr>
          <w:p>
            <w:pPr>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台</w:t>
            </w:r>
          </w:p>
        </w:tc>
        <w:tc>
          <w:tcPr>
            <w:tcW w:w="276"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2</w:t>
            </w: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w:t>
            </w:r>
          </w:p>
        </w:tc>
        <w:tc>
          <w:tcPr>
            <w:tcW w:w="459" w:type="pct"/>
            <w:shd w:val="clear" w:color="auto" w:fill="auto"/>
            <w:noWrap/>
            <w:vAlign w:val="center"/>
          </w:tcPr>
          <w:p>
            <w:pP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态势感知平台</w:t>
            </w:r>
          </w:p>
        </w:tc>
        <w:tc>
          <w:tcPr>
            <w:tcW w:w="398" w:type="pct"/>
            <w:shd w:val="clear" w:color="auto" w:fill="auto"/>
            <w:vAlign w:val="center"/>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16" w:type="pct"/>
            <w:shd w:val="clear" w:color="auto" w:fill="auto"/>
            <w:vAlign w:val="center"/>
          </w:tcPr>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rPr>
              <w:t>态势感知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平台</w:t>
            </w:r>
            <w:r>
              <w:rPr>
                <w:rFonts w:hint="eastAsia" w:asciiTheme="majorEastAsia" w:hAnsiTheme="majorEastAsia" w:eastAsiaTheme="majorEastAsia" w:cstheme="majorEastAsia"/>
                <w:sz w:val="24"/>
                <w:szCs w:val="24"/>
                <w:lang w:eastAsia="zh-CN"/>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不小于32G内存，≥128G SSD系统盘</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≥16TB SATA存储，不少于4个千兆电口</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支持全网安全风险监控展示，包括但不限于安全度打分，资产和用户安全状态分布统计，攻击阶段分布统计，安全事件统计，TOP风险资产/风险用户</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多维度大屏展现内网的态势情况，包括综合情况、外部攻击情况、安全事件情况、通报预警内容、外联风险、资产状况、业务系统脆弱性、设备运行情况等，并且画面可以进行轮流播放，并且后台可以自定义编排播放顺序</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设备支持分权管理，可以设置分支管理权限，分支管理员只能查看自己分支的安全情况，总部管理员可查看全局的安全信息，并可跳转到分支管理员管理界面</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numPr>
                <w:ilvl w:val="0"/>
                <w:numId w:val="0"/>
              </w:numPr>
              <w:ind w:leftChars="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支持对用户的操作日志进行审计，包括时间、数据来源、用户名、主机名、操作对象、操作行为等信息，支持导出操作日志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支持风险用户取证溯源，支持以时间轴图方式，展示出此用户基于时间维度受攻击情况，攻击情况匹配攻击阶段说明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numPr>
                <w:ilvl w:val="0"/>
                <w:numId w:val="0"/>
              </w:numPr>
              <w:ind w:leftChars="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支持安全事件、漏洞隐患、攻击威胁自动研判，可基于安全等级，如已失陷、高可疑、低可疑、高危、中危、低危等条件；支持自定义工单邮件通报预警模板，可定义主题、附件、正文等内容</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8.提供有效</w:t>
            </w:r>
            <w:r>
              <w:rPr>
                <w:rFonts w:hint="eastAsia" w:asciiTheme="majorEastAsia" w:hAnsiTheme="majorEastAsia" w:eastAsiaTheme="majorEastAsia" w:cstheme="majorEastAsia"/>
                <w:color w:val="000000" w:themeColor="text1"/>
                <w:sz w:val="24"/>
                <w:szCs w:val="24"/>
                <w14:textFill>
                  <w14:solidFill>
                    <w14:schemeClr w14:val="tx1"/>
                  </w14:solidFill>
                </w14:textFill>
              </w:rPr>
              <w:t>计算机信息系统安全专用产品销售许可证</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numPr>
                <w:ilvl w:val="0"/>
                <w:numId w:val="0"/>
              </w:num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24"/>
                <w:szCs w:val="24"/>
                <w14:textFill>
                  <w14:solidFill>
                    <w14:schemeClr w14:val="tx1"/>
                  </w14:solidFill>
                </w14:textFill>
              </w:rPr>
              <w:t>产品提供3年软件升级，3年质保，厂商具备CMMI5证书。</w:t>
            </w:r>
          </w:p>
          <w:p>
            <w:pPr>
              <w:numPr>
                <w:ilvl w:val="0"/>
                <w:numId w:val="0"/>
              </w:num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lang w:val="en-US" w:eastAsia="zh-CN"/>
              </w:rPr>
              <w:t>二、</w:t>
            </w:r>
            <w:r>
              <w:rPr>
                <w:rFonts w:hint="eastAsia" w:asciiTheme="majorEastAsia" w:hAnsiTheme="majorEastAsia" w:eastAsiaTheme="majorEastAsia" w:cstheme="majorEastAsia"/>
                <w:sz w:val="24"/>
                <w:szCs w:val="24"/>
              </w:rPr>
              <w:t>态势感知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探针</w:t>
            </w:r>
            <w:r>
              <w:rPr>
                <w:rFonts w:hint="eastAsia" w:asciiTheme="majorEastAsia" w:hAnsiTheme="majorEastAsia" w:eastAsiaTheme="majorEastAsia" w:cstheme="majorEastAsia"/>
                <w:sz w:val="24"/>
                <w:szCs w:val="24"/>
                <w:lang w:eastAsia="zh-CN"/>
              </w:rPr>
              <w:t>）：</w:t>
            </w:r>
          </w:p>
          <w:p>
            <w:pPr>
              <w:pStyle w:val="6"/>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为保证产品兼容性和使用体验，与安全态势感知系统为同一品牌，包含不少于4个千兆电口，不少于2个千兆光口，设备吞吐量≥1Gbps</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6"/>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为确保应用识别漏洞分析能力，要求设备能够识别应用类型超过1000种，应用识别规则总数超过3000条，漏洞利用规则特征库数量超过4000条；</w:t>
            </w:r>
          </w:p>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支持对终端种植了远控木马或者病毒等恶意软件进行检测，并且能够对检测到的恶意软件行为进行深入的分析，展示和外部命令控制服务器的交互行为和其他可疑行为；</w:t>
            </w:r>
          </w:p>
          <w:p>
            <w:pPr>
              <w:numPr>
                <w:ilvl w:val="0"/>
                <w:numId w:val="0"/>
              </w:num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为防止敏感数据泄密，支持敏感信息自定义，支持根据文件类型和敏感关键字进行信息过滤</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p>
        </w:tc>
        <w:tc>
          <w:tcPr>
            <w:tcW w:w="286" w:type="pct"/>
            <w:shd w:val="clear" w:color="auto" w:fill="auto"/>
            <w:noWrap/>
            <w:vAlign w:val="center"/>
          </w:tcPr>
          <w:p>
            <w:pPr>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套</w:t>
            </w:r>
          </w:p>
        </w:tc>
        <w:tc>
          <w:tcPr>
            <w:tcW w:w="276"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w:t>
            </w: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w:t>
            </w:r>
          </w:p>
        </w:tc>
        <w:tc>
          <w:tcPr>
            <w:tcW w:w="459" w:type="pct"/>
            <w:shd w:val="clear" w:color="auto" w:fill="auto"/>
            <w:noWrap/>
            <w:vAlign w:val="center"/>
          </w:tcPr>
          <w:p>
            <w:pP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上网行为管理设备</w:t>
            </w:r>
          </w:p>
        </w:tc>
        <w:tc>
          <w:tcPr>
            <w:tcW w:w="398" w:type="pct"/>
            <w:shd w:val="clear" w:color="auto" w:fill="auto"/>
            <w:vAlign w:val="center"/>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jc w:val="center"/>
              <w:rPr>
                <w:rFonts w:hint="default" w:asciiTheme="majorEastAsia" w:hAnsiTheme="majorEastAsia" w:eastAsiaTheme="majorEastAsia" w:cstheme="majorEastAsia"/>
                <w:color w:val="000000"/>
                <w:sz w:val="24"/>
                <w:szCs w:val="24"/>
                <w:lang w:val="en-US" w:eastAsia="zh-CN"/>
              </w:rPr>
            </w:pPr>
          </w:p>
        </w:tc>
        <w:tc>
          <w:tcPr>
            <w:tcW w:w="1816" w:type="pct"/>
            <w:shd w:val="clear" w:color="auto" w:fill="auto"/>
            <w:vAlign w:val="center"/>
          </w:tcPr>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网络吞吐量≥3.8Gb，最大并发连接数≥500000，支持用户数≥6000，硬盘≥1TB SATA，不少于6个千兆电口，2个万兆光口</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支持网关模式，支持NAT、路由转发、DHCP、GRE、OSPF等功能；</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支持记录QQ、微信传文件动作和传文件内容，并可记录传文件类型和文件长度</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支持细致的管理员权限划分，包括对不同用户组的管理权限、对各种主要功能界面的配置和查看权限</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支持细致的管理员权限划分，包括对不同用户组的管理权限、对各种主要功能界面的配置和查看权限</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pPr>
              <w:pStyle w:val="5"/>
              <w:widowControl/>
              <w:numPr>
                <w:ilvl w:val="0"/>
                <w:numId w:val="0"/>
              </w:numPr>
              <w:ind w:leftChars="0"/>
              <w:jc w:val="left"/>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6.提供产品</w:t>
            </w:r>
            <w:r>
              <w:rPr>
                <w:rFonts w:hint="eastAsia" w:asciiTheme="majorEastAsia" w:hAnsiTheme="majorEastAsia" w:eastAsiaTheme="majorEastAsia" w:cstheme="majorEastAsia"/>
                <w:color w:val="000000" w:themeColor="text1"/>
                <w:sz w:val="24"/>
                <w:szCs w:val="24"/>
                <w14:textFill>
                  <w14:solidFill>
                    <w14:schemeClr w14:val="tx1"/>
                  </w14:solidFill>
                </w14:textFill>
              </w:rPr>
              <w:t>网络关键设备和网络安全专用产品安全认证</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证书；</w:t>
            </w:r>
          </w:p>
          <w:p>
            <w:pPr>
              <w:numPr>
                <w:ilvl w:val="0"/>
                <w:numId w:val="0"/>
              </w:num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4"/>
                <w:szCs w:val="24"/>
                <w14:textFill>
                  <w14:solidFill>
                    <w14:schemeClr w14:val="tx1"/>
                  </w14:solidFill>
                </w14:textFill>
              </w:rPr>
              <w:t>产品提供3年软件升级，3年质保，厂商具备CMMI5证书。</w:t>
            </w:r>
          </w:p>
        </w:tc>
        <w:tc>
          <w:tcPr>
            <w:tcW w:w="286" w:type="pct"/>
            <w:shd w:val="clear" w:color="auto" w:fill="auto"/>
            <w:noWrap/>
            <w:vAlign w:val="center"/>
          </w:tcPr>
          <w:p>
            <w:pPr>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台</w:t>
            </w:r>
          </w:p>
        </w:tc>
        <w:tc>
          <w:tcPr>
            <w:tcW w:w="276"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w:t>
            </w: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4</w:t>
            </w:r>
          </w:p>
        </w:tc>
        <w:tc>
          <w:tcPr>
            <w:tcW w:w="459" w:type="pct"/>
            <w:shd w:val="clear" w:color="auto" w:fill="auto"/>
            <w:noWrap/>
            <w:vAlign w:val="center"/>
          </w:tcPr>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交换机</w:t>
            </w:r>
          </w:p>
        </w:tc>
        <w:tc>
          <w:tcPr>
            <w:tcW w:w="398" w:type="pct"/>
            <w:shd w:val="clear" w:color="auto" w:fill="auto"/>
            <w:vAlign w:val="center"/>
          </w:tcPr>
          <w:p>
            <w:pPr>
              <w:keepNext w:val="0"/>
              <w:keepLines w:val="0"/>
              <w:widowControl/>
              <w:suppressLineNumbers w:val="0"/>
              <w:jc w:val="left"/>
              <w:textAlignment w:val="top"/>
              <w:rPr>
                <w:rFonts w:hint="eastAsia" w:asciiTheme="majorEastAsia" w:hAnsiTheme="majorEastAsia" w:eastAsiaTheme="majorEastAsia" w:cstheme="majorEastAsia"/>
                <w:color w:val="000000"/>
                <w:sz w:val="24"/>
                <w:szCs w:val="24"/>
              </w:rPr>
            </w:pPr>
          </w:p>
        </w:tc>
        <w:tc>
          <w:tcPr>
            <w:tcW w:w="363" w:type="pct"/>
            <w:shd w:val="clear" w:color="auto" w:fill="auto"/>
            <w:vAlign w:val="center"/>
          </w:tcPr>
          <w:p>
            <w:pPr>
              <w:jc w:val="center"/>
              <w:rPr>
                <w:rFonts w:hint="eastAsia" w:asciiTheme="majorEastAsia" w:hAnsiTheme="majorEastAsia" w:eastAsiaTheme="majorEastAsia" w:cstheme="majorEastAsia"/>
                <w:color w:val="000000"/>
                <w:sz w:val="24"/>
                <w:szCs w:val="24"/>
              </w:rPr>
            </w:pPr>
          </w:p>
        </w:tc>
        <w:tc>
          <w:tcPr>
            <w:tcW w:w="1816" w:type="pct"/>
            <w:shd w:val="clear" w:color="auto" w:fill="auto"/>
            <w:vAlign w:val="center"/>
          </w:tcPr>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1、交换容量≥</w:t>
            </w:r>
            <w:r>
              <w:rPr>
                <w:rFonts w:hint="eastAsia" w:asciiTheme="majorEastAsia" w:hAnsiTheme="majorEastAsia" w:eastAsiaTheme="majorEastAsia" w:cstheme="majorEastAsia"/>
                <w:color w:val="000000"/>
                <w:kern w:val="0"/>
                <w:sz w:val="24"/>
                <w:szCs w:val="24"/>
                <w:lang w:val="en-US" w:eastAsia="zh-CN"/>
              </w:rPr>
              <w:t>76</w:t>
            </w:r>
            <w:r>
              <w:rPr>
                <w:rFonts w:hint="eastAsia" w:asciiTheme="majorEastAsia" w:hAnsiTheme="majorEastAsia" w:eastAsiaTheme="majorEastAsia" w:cstheme="majorEastAsia"/>
                <w:color w:val="000000"/>
                <w:kern w:val="0"/>
                <w:sz w:val="24"/>
                <w:szCs w:val="24"/>
              </w:rPr>
              <w:t>Tbps，包转发率≥2</w:t>
            </w:r>
            <w:r>
              <w:rPr>
                <w:rFonts w:hint="eastAsia" w:asciiTheme="majorEastAsia" w:hAnsiTheme="majorEastAsia" w:eastAsiaTheme="majorEastAsia" w:cstheme="majorEastAsia"/>
                <w:color w:val="000000"/>
                <w:kern w:val="0"/>
                <w:sz w:val="24"/>
                <w:szCs w:val="24"/>
                <w:lang w:val="en-US" w:eastAsia="zh-CN"/>
              </w:rPr>
              <w:t>0</w:t>
            </w:r>
            <w:r>
              <w:rPr>
                <w:rFonts w:hint="eastAsia" w:asciiTheme="majorEastAsia" w:hAnsiTheme="majorEastAsia" w:eastAsiaTheme="majorEastAsia" w:cstheme="majorEastAsia"/>
                <w:color w:val="000000"/>
                <w:kern w:val="0"/>
                <w:sz w:val="24"/>
                <w:szCs w:val="24"/>
              </w:rPr>
              <w:t>00Mpps；主控引擎≥2个,整机业务板槽位数≥6个；本次实配：配置≥2个主控；配置≥2个电源模块；配置≥</w:t>
            </w:r>
            <w:r>
              <w:rPr>
                <w:rFonts w:hint="eastAsia" w:asciiTheme="majorEastAsia" w:hAnsiTheme="majorEastAsia" w:eastAsiaTheme="majorEastAsia" w:cstheme="majorEastAsia"/>
                <w:color w:val="000000"/>
                <w:kern w:val="0"/>
                <w:sz w:val="24"/>
                <w:szCs w:val="24"/>
                <w:lang w:val="en-US" w:eastAsia="zh-CN"/>
              </w:rPr>
              <w:t>48</w:t>
            </w:r>
            <w:r>
              <w:rPr>
                <w:rFonts w:hint="eastAsia" w:asciiTheme="majorEastAsia" w:hAnsiTheme="majorEastAsia" w:eastAsiaTheme="majorEastAsia" w:cstheme="majorEastAsia"/>
                <w:color w:val="000000"/>
                <w:kern w:val="0"/>
                <w:sz w:val="24"/>
                <w:szCs w:val="24"/>
              </w:rPr>
              <w:t>个千兆光口；</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2、为保证设备散热效果和可靠性，设备具备模块化风扇框，可热插拔，独立风扇框数≥2个；支持颗粒化电源，整机电源槽位数≥4个；</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3、支持独立的硬件监控板卡，支持1+1备份，能集中监控板卡、风扇、电源、环境，能调节能耗；</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4、支持横向虚拟化技术，将多台设备虚拟为一台；支持纵向虚拟化技术，且子节点接入交换机支持堆叠；</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5、整机MAC地址≥1M， MAC地址学习速率&gt;8000个/s，ARP表项≥256k, ARP学习速率≥1000个/s；</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6、具有静态路由、RIP、RIPng、OSPF、OSPFv3、BGP、BGP4+、ISIS、ISISv6；</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7、交换机堆叠后构成的虚拟系统中，64字节帧通过堆叠线缆平均时延≤5μs； 每槽位网络链接能力≥320Gbps；</w:t>
            </w:r>
          </w:p>
          <w:p>
            <w:pPr>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8、具备硬件BFD/OAM，3.3ms稳定均匀发包检测；</w:t>
            </w:r>
          </w:p>
          <w:p>
            <w:pPr>
              <w:numPr>
                <w:ilvl w:val="0"/>
                <w:numId w:val="1"/>
              </w:numPr>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具有SNMP V1/V2/V3、Telnet、RMON、SSHV2,通过命令行、中文图形化配置软件等方式进行配置和管理,支持WEB网管；</w:t>
            </w:r>
          </w:p>
          <w:p>
            <w:pPr>
              <w:numPr>
                <w:ilvl w:val="0"/>
                <w:numId w:val="1"/>
              </w:numPr>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含原厂华为认证工程师集成调试。</w:t>
            </w:r>
          </w:p>
          <w:p>
            <w:pPr>
              <w:numPr>
                <w:ilvl w:val="0"/>
                <w:numId w:val="1"/>
              </w:numPr>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售后服务：三年免费保修，三年免费原厂工程师上门服务；</w:t>
            </w:r>
          </w:p>
        </w:tc>
        <w:tc>
          <w:tcPr>
            <w:tcW w:w="286" w:type="pct"/>
            <w:shd w:val="clear" w:color="auto" w:fill="auto"/>
            <w:noWrap/>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1</w:t>
            </w:r>
          </w:p>
        </w:tc>
        <w:tc>
          <w:tcPr>
            <w:tcW w:w="276"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套</w:t>
            </w:r>
          </w:p>
        </w:tc>
        <w:tc>
          <w:tcPr>
            <w:tcW w:w="374"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c>
          <w:tcPr>
            <w:tcW w:w="374"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5</w:t>
            </w:r>
          </w:p>
        </w:tc>
        <w:tc>
          <w:tcPr>
            <w:tcW w:w="459"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万兆板卡</w:t>
            </w:r>
          </w:p>
        </w:tc>
        <w:tc>
          <w:tcPr>
            <w:tcW w:w="398"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1816" w:type="pct"/>
            <w:shd w:val="clear" w:color="auto" w:fill="auto"/>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1、与现有核心交换机兼容；</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2、扩展板卡端口要求：≥24端口万兆以太网光接，≥24端口千兆以太网光接口；</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3、扩展板卡支持通过业务口集群功能，集群带宽≥40Gbps，并配套集群相应线缆与模块，满足本次集群需求；</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4.含原厂华为认证工程师集成调试。</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5.售后服务：一年免费保修，一年免费原厂工程师上门服务；</w:t>
            </w:r>
          </w:p>
        </w:tc>
        <w:tc>
          <w:tcPr>
            <w:tcW w:w="28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4</w:t>
            </w:r>
          </w:p>
        </w:tc>
        <w:tc>
          <w:tcPr>
            <w:tcW w:w="27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套</w:t>
            </w:r>
          </w:p>
        </w:tc>
        <w:tc>
          <w:tcPr>
            <w:tcW w:w="3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6</w:t>
            </w:r>
          </w:p>
        </w:tc>
        <w:tc>
          <w:tcPr>
            <w:tcW w:w="459"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万兆光模块</w:t>
            </w:r>
          </w:p>
        </w:tc>
        <w:tc>
          <w:tcPr>
            <w:tcW w:w="398"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4"/>
                <w:szCs w:val="24"/>
              </w:rPr>
            </w:pPr>
          </w:p>
        </w:tc>
        <w:tc>
          <w:tcPr>
            <w:tcW w:w="363"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4"/>
                <w:szCs w:val="24"/>
              </w:rPr>
            </w:pPr>
          </w:p>
        </w:tc>
        <w:tc>
          <w:tcPr>
            <w:tcW w:w="1816" w:type="pct"/>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color w:val="000000"/>
                <w:kern w:val="0"/>
                <w:sz w:val="24"/>
                <w:szCs w:val="24"/>
                <w:u w:val="none"/>
                <w:lang w:val="en-US" w:eastAsia="zh-CN" w:bidi="ar"/>
              </w:rPr>
              <w:t>光模块-SFP+-10G-单模模块(1310nm,10km,LC)</w:t>
            </w:r>
          </w:p>
        </w:tc>
        <w:tc>
          <w:tcPr>
            <w:tcW w:w="286" w:type="pct"/>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28</w:t>
            </w:r>
          </w:p>
        </w:tc>
        <w:tc>
          <w:tcPr>
            <w:tcW w:w="27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支</w:t>
            </w:r>
          </w:p>
        </w:tc>
        <w:tc>
          <w:tcPr>
            <w:tcW w:w="3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lang w:val="en-US"/>
              </w:rPr>
            </w:pPr>
          </w:p>
        </w:tc>
        <w:tc>
          <w:tcPr>
            <w:tcW w:w="374" w:type="pct"/>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7</w:t>
            </w:r>
          </w:p>
        </w:tc>
        <w:tc>
          <w:tcPr>
            <w:tcW w:w="459"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跳纤</w:t>
            </w:r>
          </w:p>
        </w:tc>
        <w:tc>
          <w:tcPr>
            <w:tcW w:w="398"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1816" w:type="pct"/>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高速万兆光纤跳线lc-lc 10米；</w:t>
            </w:r>
          </w:p>
        </w:tc>
        <w:tc>
          <w:tcPr>
            <w:tcW w:w="28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4"/>
                <w:szCs w:val="24"/>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u w:val="none"/>
                <w:lang w:val="en-US" w:eastAsia="zh-CN" w:bidi="ar"/>
                <w14:textFill>
                  <w14:solidFill>
                    <w14:schemeClr w14:val="tx1"/>
                  </w14:solidFill>
                </w14:textFill>
              </w:rPr>
              <w:t>30</w:t>
            </w:r>
          </w:p>
        </w:tc>
        <w:tc>
          <w:tcPr>
            <w:tcW w:w="27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对</w:t>
            </w:r>
          </w:p>
        </w:tc>
        <w:tc>
          <w:tcPr>
            <w:tcW w:w="3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74"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8</w:t>
            </w:r>
          </w:p>
        </w:tc>
        <w:tc>
          <w:tcPr>
            <w:tcW w:w="459"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医用显示屏</w:t>
            </w:r>
          </w:p>
        </w:tc>
        <w:tc>
          <w:tcPr>
            <w:tcW w:w="398"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363" w:type="pc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p>
        </w:tc>
        <w:tc>
          <w:tcPr>
            <w:tcW w:w="1816"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显示器完全符合dicom3.14标准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系统完成自动校正</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并提供亮度及曲线自动校准功能技术的证明材料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分辨率≥3280×2048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点距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0.197×0.197mm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尺寸≥30英寸</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对比度≥1000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亮度≥800 cd/m²</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提供通过中国合格评定国家认定委员会（CNAS）和中国计量认证（CMA）认可的第三方机构出具的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盖有中国合格评定国家认定委员会（CNAS）和中国计量认证（CMA）公章的检测报告</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显示器内置多个亮度条件下的dicom校正曲线700/600/500/400/350/300/250cd/㎡</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另外内置GAMMA</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DSA</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DSI</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CT/MRI</w:t>
            </w:r>
            <w:r>
              <w:rPr>
                <w:rFonts w:hint="eastAsia" w:ascii="宋体" w:hAnsi="宋体" w:eastAsia="宋体" w:cs="宋体"/>
                <w:b w:val="0"/>
                <w:bCs w:val="0"/>
                <w:color w:val="auto"/>
                <w:sz w:val="24"/>
                <w:szCs w:val="24"/>
                <w:lang w:val="en-US" w:eastAsia="zh-CN"/>
              </w:rPr>
              <w:t>以及彩色灰阶综合校正</w:t>
            </w:r>
            <w:r>
              <w:rPr>
                <w:rFonts w:hint="eastAsia" w:ascii="宋体" w:hAnsi="宋体" w:eastAsia="宋体" w:cs="宋体"/>
                <w:b w:val="0"/>
                <w:bCs w:val="0"/>
                <w:color w:val="auto"/>
                <w:sz w:val="24"/>
                <w:szCs w:val="24"/>
              </w:rPr>
              <w:t>曲线</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DICOM曲线亮度误差在±5%,</w:t>
            </w:r>
            <w:r>
              <w:rPr>
                <w:rFonts w:hint="eastAsia" w:ascii="宋体" w:hAnsi="宋体" w:cs="宋体"/>
                <w:b w:val="0"/>
                <w:bCs w:val="0"/>
                <w:color w:val="auto"/>
                <w:sz w:val="24"/>
                <w:szCs w:val="24"/>
                <w:lang w:val="en-US" w:eastAsia="zh-CN"/>
              </w:rPr>
              <w:t>检测报告须体现</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、为保证影像显示的均匀性，需具备全屏幕亮度均衡系统，保证亮度均匀度＞85%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、为满足多种影像综合诊断的真实显示，要求提供对医学彩色和灰阶图像自动识别及校准的硬件技术证明材料复印件（非软件方式）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、达到报告审核的标准，提供报告审核专用软件的技术认定证明材料复印件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两路信号可分别输入，在一个屏上实现双竖屏显示，</w:t>
            </w:r>
            <w:r>
              <w:rPr>
                <w:rFonts w:hint="eastAsia" w:ascii="宋体" w:hAnsi="宋体" w:eastAsia="宋体" w:cs="宋体"/>
                <w:b w:val="0"/>
                <w:bCs w:val="0"/>
                <w:color w:val="auto"/>
                <w:sz w:val="24"/>
                <w:szCs w:val="24"/>
                <w:lang w:val="en-US" w:eastAsia="zh-CN"/>
              </w:rPr>
              <w:t>具备</w:t>
            </w:r>
            <w:r>
              <w:rPr>
                <w:rFonts w:hint="eastAsia" w:ascii="宋体" w:hAnsi="宋体" w:eastAsia="宋体" w:cs="宋体"/>
                <w:b w:val="0"/>
                <w:bCs w:val="0"/>
                <w:color w:val="auto"/>
                <w:sz w:val="24"/>
                <w:szCs w:val="24"/>
              </w:rPr>
              <w:t>多种显示模式的一体化双屏显示器及其调节</w:t>
            </w:r>
            <w:r>
              <w:rPr>
                <w:rFonts w:hint="eastAsia" w:ascii="宋体" w:hAnsi="宋体" w:eastAsia="宋体" w:cs="宋体"/>
                <w:b w:val="0"/>
                <w:bCs w:val="0"/>
                <w:color w:val="auto"/>
                <w:sz w:val="24"/>
                <w:szCs w:val="24"/>
                <w:lang w:val="en-US" w:eastAsia="zh-CN"/>
              </w:rPr>
              <w:t>方法</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显示器</w:t>
            </w:r>
            <w:r>
              <w:rPr>
                <w:rFonts w:hint="eastAsia" w:ascii="宋体" w:hAnsi="宋体" w:eastAsia="宋体" w:cs="宋体"/>
                <w:b w:val="0"/>
                <w:bCs w:val="0"/>
                <w:color w:val="auto"/>
                <w:sz w:val="24"/>
                <w:szCs w:val="24"/>
                <w:lang w:eastAsia="zh-CN"/>
              </w:rPr>
              <w:t>色彩≥48bit  2814700亿色彩(灰度等级≥16bit  65536级)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具备医用专业显示器超高位宽图像增强显示装置技术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响应时间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30ms，Ton≤15ms，Toff≤15ms</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可视角度≥170°</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外置医疗级电源模块，须提供所供医疗电源UL60601-1证书</w:t>
            </w:r>
            <w:r>
              <w:rPr>
                <w:rFonts w:hint="eastAsia" w:ascii="宋体" w:hAnsi="宋体" w:eastAsia="宋体" w:cs="宋体"/>
                <w:b w:val="0"/>
                <w:bCs w:val="0"/>
                <w:color w:val="auto"/>
                <w:sz w:val="24"/>
                <w:szCs w:val="24"/>
                <w:lang w:val="en-US" w:eastAsia="zh-CN"/>
              </w:rPr>
              <w:t>复印件</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端口：DVI-D×2、DP×2</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可一键切换亮度，</w:t>
            </w:r>
            <w:r>
              <w:rPr>
                <w:rFonts w:hint="eastAsia" w:ascii="宋体" w:hAnsi="宋体" w:eastAsia="宋体" w:cs="宋体"/>
                <w:b w:val="0"/>
                <w:bCs w:val="0"/>
                <w:color w:val="auto"/>
                <w:sz w:val="24"/>
                <w:szCs w:val="24"/>
                <w:lang w:val="en-US" w:eastAsia="zh-CN"/>
              </w:rPr>
              <w:t>达到低亮度阅片</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高亮度观察图像细节效果</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前置校准系统，实时监测显示器输出亮度，</w:t>
            </w:r>
            <w:r>
              <w:rPr>
                <w:rFonts w:hint="eastAsia" w:ascii="宋体" w:hAnsi="宋体" w:eastAsia="宋体" w:cs="宋体"/>
                <w:b w:val="0"/>
                <w:bCs w:val="0"/>
                <w:color w:val="auto"/>
                <w:sz w:val="24"/>
                <w:szCs w:val="24"/>
                <w:lang w:val="en-US" w:eastAsia="zh-CN"/>
              </w:rPr>
              <w:t>通过前置感光探头控制软件技术</w:t>
            </w:r>
            <w:r>
              <w:rPr>
                <w:rFonts w:hint="eastAsia" w:ascii="宋体" w:hAnsi="宋体" w:eastAsia="宋体" w:cs="宋体"/>
                <w:b w:val="0"/>
                <w:bCs w:val="0"/>
                <w:color w:val="auto"/>
                <w:sz w:val="24"/>
                <w:szCs w:val="24"/>
              </w:rPr>
              <w:t>对DICOM进行精确校正</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人体感应，自动待机或唤醒显示器，节能，显示器寿命长。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具备</w:t>
            </w:r>
            <w:r>
              <w:rPr>
                <w:rFonts w:hint="eastAsia" w:ascii="宋体" w:hAnsi="宋体" w:eastAsia="宋体" w:cs="宋体"/>
                <w:b w:val="0"/>
                <w:bCs w:val="0"/>
                <w:color w:val="auto"/>
                <w:sz w:val="24"/>
                <w:szCs w:val="24"/>
              </w:rPr>
              <w:t>环境光侦测</w:t>
            </w:r>
            <w:r>
              <w:rPr>
                <w:rFonts w:hint="eastAsia" w:ascii="宋体" w:hAnsi="宋体" w:eastAsia="宋体" w:cs="宋体"/>
                <w:b w:val="0"/>
                <w:bCs w:val="0"/>
                <w:color w:val="auto"/>
                <w:sz w:val="24"/>
                <w:szCs w:val="24"/>
                <w:lang w:val="en-US" w:eastAsia="zh-CN"/>
              </w:rPr>
              <w:t>功能</w:t>
            </w:r>
            <w:r>
              <w:rPr>
                <w:rFonts w:hint="eastAsia" w:ascii="宋体" w:hAnsi="宋体" w:eastAsia="宋体" w:cs="宋体"/>
                <w:b w:val="0"/>
                <w:bCs w:val="0"/>
                <w:color w:val="auto"/>
                <w:sz w:val="24"/>
                <w:szCs w:val="24"/>
              </w:rPr>
              <w:t>，自动检测环境光数据，根据环境光对显示效果的影响，对DICOM进行校正，</w:t>
            </w:r>
            <w:r>
              <w:rPr>
                <w:rFonts w:hint="eastAsia" w:ascii="宋体" w:hAnsi="宋体" w:eastAsia="宋体" w:cs="宋体"/>
                <w:b w:val="0"/>
                <w:bCs w:val="0"/>
                <w:color w:val="auto"/>
                <w:sz w:val="24"/>
                <w:szCs w:val="24"/>
                <w:lang w:val="en-US" w:eastAsia="zh-CN"/>
              </w:rPr>
              <w:t>更</w:t>
            </w:r>
            <w:r>
              <w:rPr>
                <w:rFonts w:hint="eastAsia" w:ascii="宋体" w:hAnsi="宋体" w:eastAsia="宋体" w:cs="宋体"/>
                <w:b w:val="0"/>
                <w:bCs w:val="0"/>
                <w:color w:val="auto"/>
                <w:sz w:val="24"/>
                <w:szCs w:val="24"/>
              </w:rPr>
              <w:t>符合人眼观察能力展现图像，提供</w:t>
            </w:r>
            <w:r>
              <w:rPr>
                <w:rFonts w:hint="eastAsia" w:ascii="宋体" w:hAnsi="宋体" w:eastAsia="宋体" w:cs="宋体"/>
                <w:b w:val="0"/>
                <w:bCs w:val="0"/>
                <w:color w:val="auto"/>
                <w:sz w:val="24"/>
                <w:szCs w:val="24"/>
                <w:lang w:val="en-US" w:eastAsia="zh-CN"/>
              </w:rPr>
              <w:t>具有</w:t>
            </w:r>
            <w:r>
              <w:rPr>
                <w:rFonts w:hint="eastAsia" w:ascii="宋体" w:hAnsi="宋体" w:eastAsia="宋体" w:cs="宋体"/>
                <w:b w:val="0"/>
                <w:bCs w:val="0"/>
                <w:color w:val="auto"/>
                <w:sz w:val="24"/>
                <w:szCs w:val="24"/>
              </w:rPr>
              <w:t>环境光自适应功能</w:t>
            </w:r>
            <w:r>
              <w:rPr>
                <w:rFonts w:hint="eastAsia" w:ascii="宋体" w:hAnsi="宋体" w:eastAsia="宋体" w:cs="宋体"/>
                <w:b w:val="0"/>
                <w:bCs w:val="0"/>
                <w:color w:val="auto"/>
                <w:sz w:val="24"/>
                <w:szCs w:val="24"/>
                <w:lang w:val="en-US" w:eastAsia="zh-CN"/>
              </w:rPr>
              <w:t>的显示器及其工作流程</w:t>
            </w:r>
            <w:r>
              <w:rPr>
                <w:rFonts w:hint="eastAsia" w:ascii="宋体" w:hAnsi="宋体" w:eastAsia="宋体" w:cs="宋体"/>
                <w:b w:val="0"/>
                <w:bCs w:val="0"/>
                <w:color w:val="auto"/>
                <w:sz w:val="24"/>
                <w:szCs w:val="24"/>
              </w:rPr>
              <w:t>技术证明材料</w:t>
            </w:r>
            <w:r>
              <w:rPr>
                <w:rFonts w:hint="eastAsia" w:ascii="宋体" w:hAnsi="宋体" w:eastAsia="宋体" w:cs="宋体"/>
                <w:b w:val="0"/>
                <w:bCs w:val="0"/>
                <w:color w:val="auto"/>
                <w:sz w:val="24"/>
                <w:szCs w:val="24"/>
                <w:lang w:val="en-US" w:eastAsia="zh-CN"/>
              </w:rPr>
              <w:t>及该技术查新报告复印件</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提供双头PCIe接口专业显卡，显卡内存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G</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8、投标产品具有CCC认证，认证证书上制造商名称和生产厂名</w:t>
            </w:r>
            <w:r>
              <w:rPr>
                <w:rFonts w:hint="eastAsia" w:ascii="宋体" w:hAnsi="宋体" w:cs="宋体"/>
                <w:b w:val="0"/>
                <w:bCs w:val="0"/>
                <w:color w:val="auto"/>
                <w:sz w:val="24"/>
                <w:szCs w:val="24"/>
                <w:lang w:val="en-US" w:eastAsia="zh-CN"/>
              </w:rPr>
              <w:t>称须一样。</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19、售后服务：三年免费保修，三年免费原厂工程师上门服务；</w:t>
            </w:r>
          </w:p>
        </w:tc>
        <w:tc>
          <w:tcPr>
            <w:tcW w:w="28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4"/>
                <w:szCs w:val="24"/>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u w:val="none"/>
                <w:lang w:val="en-US" w:eastAsia="zh-CN" w:bidi="ar"/>
                <w14:textFill>
                  <w14:solidFill>
                    <w14:schemeClr w14:val="tx1"/>
                  </w14:solidFill>
                </w14:textFill>
              </w:rPr>
              <w:t>3</w:t>
            </w:r>
          </w:p>
        </w:tc>
        <w:tc>
          <w:tcPr>
            <w:tcW w:w="276" w:type="pc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台</w:t>
            </w:r>
          </w:p>
        </w:tc>
        <w:tc>
          <w:tcPr>
            <w:tcW w:w="374" w:type="pct"/>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24"/>
                <w:szCs w:val="24"/>
                <w:u w:val="none"/>
                <w:lang w:val="en-US" w:eastAsia="zh-CN" w:bidi="ar"/>
              </w:rPr>
            </w:pPr>
          </w:p>
        </w:tc>
        <w:tc>
          <w:tcPr>
            <w:tcW w:w="374" w:type="pct"/>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0"/>
                <w:sz w:val="24"/>
                <w:szCs w:val="24"/>
                <w:u w:val="none"/>
                <w:lang w:val="en-US" w:eastAsia="zh-CN" w:bidi="ar"/>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 w:type="pct"/>
            <w:shd w:val="clear" w:color="auto" w:fill="auto"/>
            <w:noWrap/>
            <w:vAlign w:val="center"/>
          </w:tcPr>
          <w:p>
            <w:pPr>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9</w:t>
            </w:r>
          </w:p>
        </w:tc>
        <w:tc>
          <w:tcPr>
            <w:tcW w:w="3976" w:type="pct"/>
            <w:gridSpan w:val="7"/>
            <w:shd w:val="clear" w:color="auto" w:fill="auto"/>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合计：</w:t>
            </w:r>
          </w:p>
        </w:tc>
        <w:tc>
          <w:tcPr>
            <w:tcW w:w="374" w:type="pct"/>
            <w:shd w:val="clear" w:color="auto" w:fill="auto"/>
            <w:noWrap/>
            <w:vAlign w:val="center"/>
          </w:tcPr>
          <w:p>
            <w:pPr>
              <w:widowControl/>
              <w:spacing w:line="360" w:lineRule="exact"/>
              <w:jc w:val="center"/>
              <w:rPr>
                <w:rFonts w:hint="default" w:asciiTheme="majorEastAsia" w:hAnsiTheme="majorEastAsia" w:eastAsiaTheme="majorEastAsia" w:cstheme="majorEastAsia"/>
                <w:color w:val="000000"/>
                <w:kern w:val="0"/>
                <w:sz w:val="24"/>
                <w:szCs w:val="24"/>
                <w:lang w:val="en-US" w:eastAsia="zh-CN"/>
              </w:rPr>
            </w:pPr>
          </w:p>
        </w:tc>
        <w:tc>
          <w:tcPr>
            <w:tcW w:w="374" w:type="pct"/>
            <w:gridSpan w:val="2"/>
            <w:shd w:val="clear" w:color="auto" w:fill="auto"/>
            <w:noWrap/>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r>
    </w:tbl>
    <w:p/>
    <w:p/>
    <w:p>
      <w:pPr>
        <w:widowControl/>
        <w:autoSpaceDN w:val="0"/>
        <w:spacing w:line="256" w:lineRule="exact"/>
        <w:jc w:val="left"/>
        <w:rPr>
          <w:rFonts w:hint="eastAsia"/>
          <w:lang w:eastAsia="zh-CN"/>
        </w:rPr>
      </w:pPr>
      <w:r>
        <w:rPr>
          <w:rFonts w:hint="eastAsia"/>
          <w:lang w:eastAsia="zh-CN"/>
        </w:rPr>
        <w:t>备注：</w:t>
      </w:r>
      <w:r>
        <w:rPr>
          <w:rFonts w:hint="eastAsia" w:ascii="仿宋_GB2312" w:hAnsi="仿宋_GB2312" w:eastAsia="仿宋_GB2312" w:cs="仿宋_GB2312"/>
          <w:sz w:val="24"/>
        </w:rPr>
        <w:t>1.</w:t>
      </w:r>
      <w:r>
        <w:rPr>
          <w:rFonts w:hint="eastAsia"/>
          <w:lang w:eastAsia="zh-CN"/>
        </w:rPr>
        <w:t>接到报修后10分钟内响应，30分钟内到现场，2小时内处理完问题，硬件问题8小时内处理完毕，若24小时内处理不好，提供备用机。质保期后中标供应商须提供终身维修维护服务。</w:t>
      </w:r>
    </w:p>
    <w:p>
      <w:pPr>
        <w:widowControl/>
        <w:numPr>
          <w:ilvl w:val="0"/>
          <w:numId w:val="2"/>
        </w:numPr>
        <w:autoSpaceDN w:val="0"/>
        <w:spacing w:line="256" w:lineRule="exact"/>
        <w:ind w:firstLine="630" w:firstLineChars="300"/>
        <w:jc w:val="left"/>
        <w:rPr>
          <w:rFonts w:hint="eastAsia"/>
          <w:lang w:eastAsia="zh-CN"/>
        </w:rPr>
      </w:pPr>
      <w:r>
        <w:rPr>
          <w:rFonts w:hint="eastAsia"/>
          <w:lang w:eastAsia="zh-CN"/>
        </w:rPr>
        <w:t>以上产品必须按采购方需求分批次供货调试安装及分批次验收结算，质保时间以验收之日起开始计算；</w:t>
      </w:r>
    </w:p>
    <w:p>
      <w:pPr>
        <w:widowControl/>
        <w:numPr>
          <w:ilvl w:val="0"/>
          <w:numId w:val="2"/>
        </w:numPr>
        <w:autoSpaceDN w:val="0"/>
        <w:spacing w:line="256" w:lineRule="exact"/>
        <w:ind w:firstLine="630" w:firstLineChars="300"/>
        <w:jc w:val="left"/>
        <w:rPr>
          <w:rFonts w:hint="eastAsia"/>
          <w:lang w:eastAsia="zh-CN"/>
        </w:rPr>
      </w:pPr>
      <w:r>
        <w:rPr>
          <w:rFonts w:hint="eastAsia"/>
          <w:lang w:eastAsia="zh-CN"/>
        </w:rPr>
        <w:t>参与调研的供应商提供针对交换机、板卡参数的承诺函，必须满足我院的使用需求。不提供则报价无效。</w:t>
      </w:r>
      <w:bookmarkStart w:id="0" w:name="_GoBack"/>
      <w:bookmarkEnd w:id="0"/>
    </w:p>
    <w:p>
      <w:pPr>
        <w:widowControl/>
        <w:autoSpaceDN w:val="0"/>
        <w:spacing w:line="256" w:lineRule="exact"/>
        <w:ind w:firstLine="630" w:firstLineChars="300"/>
        <w:jc w:val="left"/>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23CF5D"/>
    <w:multiLevelType w:val="singleLevel"/>
    <w:tmpl w:val="E723CF5D"/>
    <w:lvl w:ilvl="0" w:tentative="0">
      <w:start w:val="9"/>
      <w:numFmt w:val="decimal"/>
      <w:suff w:val="nothing"/>
      <w:lvlText w:val="%1、"/>
      <w:lvlJc w:val="left"/>
    </w:lvl>
  </w:abstractNum>
  <w:abstractNum w:abstractNumId="1">
    <w:nsid w:val="0FEC6392"/>
    <w:multiLevelType w:val="singleLevel"/>
    <w:tmpl w:val="0FEC639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B6878"/>
    <w:rsid w:val="008D53F9"/>
    <w:rsid w:val="02184EF1"/>
    <w:rsid w:val="02C47944"/>
    <w:rsid w:val="02EB6FDC"/>
    <w:rsid w:val="04CA6FA2"/>
    <w:rsid w:val="05EF5D2C"/>
    <w:rsid w:val="066E628C"/>
    <w:rsid w:val="093E46BD"/>
    <w:rsid w:val="0B0031AC"/>
    <w:rsid w:val="0C912B00"/>
    <w:rsid w:val="0FD14903"/>
    <w:rsid w:val="10D71AC6"/>
    <w:rsid w:val="17CE7225"/>
    <w:rsid w:val="18AB543B"/>
    <w:rsid w:val="192431D3"/>
    <w:rsid w:val="19567636"/>
    <w:rsid w:val="1992341E"/>
    <w:rsid w:val="19DF0695"/>
    <w:rsid w:val="19E5799D"/>
    <w:rsid w:val="1CA426B7"/>
    <w:rsid w:val="1DAA1DBD"/>
    <w:rsid w:val="1DAC1828"/>
    <w:rsid w:val="1F565936"/>
    <w:rsid w:val="1FC13A39"/>
    <w:rsid w:val="217F199C"/>
    <w:rsid w:val="219F0AFD"/>
    <w:rsid w:val="22A965EE"/>
    <w:rsid w:val="23256AA0"/>
    <w:rsid w:val="238A6F75"/>
    <w:rsid w:val="24DE3EF4"/>
    <w:rsid w:val="27991B08"/>
    <w:rsid w:val="289C37FC"/>
    <w:rsid w:val="29014530"/>
    <w:rsid w:val="2A715D6C"/>
    <w:rsid w:val="2D943500"/>
    <w:rsid w:val="2EFA78B9"/>
    <w:rsid w:val="2F8F3102"/>
    <w:rsid w:val="2FAA750F"/>
    <w:rsid w:val="34F30C1D"/>
    <w:rsid w:val="38184A65"/>
    <w:rsid w:val="38DE0EE0"/>
    <w:rsid w:val="3B231103"/>
    <w:rsid w:val="3B610325"/>
    <w:rsid w:val="3DD53E7E"/>
    <w:rsid w:val="424939C4"/>
    <w:rsid w:val="429F7B1C"/>
    <w:rsid w:val="48BB5AC6"/>
    <w:rsid w:val="492171E9"/>
    <w:rsid w:val="4AAE272E"/>
    <w:rsid w:val="4B9D5DA1"/>
    <w:rsid w:val="4FFB388D"/>
    <w:rsid w:val="508A6B80"/>
    <w:rsid w:val="53507C73"/>
    <w:rsid w:val="54794764"/>
    <w:rsid w:val="5A6170ED"/>
    <w:rsid w:val="5E901924"/>
    <w:rsid w:val="5FAF22C0"/>
    <w:rsid w:val="60E219E8"/>
    <w:rsid w:val="611B6878"/>
    <w:rsid w:val="62982B79"/>
    <w:rsid w:val="62E747E0"/>
    <w:rsid w:val="63960A45"/>
    <w:rsid w:val="644E567A"/>
    <w:rsid w:val="67FD6CA3"/>
    <w:rsid w:val="6824255D"/>
    <w:rsid w:val="6AED024C"/>
    <w:rsid w:val="6B7622FC"/>
    <w:rsid w:val="6B9402B5"/>
    <w:rsid w:val="6DAE0CBA"/>
    <w:rsid w:val="74533EFF"/>
    <w:rsid w:val="75F95682"/>
    <w:rsid w:val="7935218D"/>
    <w:rsid w:val="794D380E"/>
    <w:rsid w:val="7A613407"/>
    <w:rsid w:val="7C7A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rPr>
      <w:sz w:val="21"/>
      <w:szCs w:val="22"/>
    </w:rPr>
  </w:style>
  <w:style w:type="paragraph" w:customStyle="1" w:styleId="6">
    <w:name w:val="无间隔1"/>
    <w:qFormat/>
    <w:uiPriority w:val="1"/>
    <w:pPr>
      <w:widowControl w:val="0"/>
      <w:jc w:val="both"/>
    </w:pPr>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2020-06-11T01:58:00Z</dcterms:created>
  <dc:creator>俊儿</dc:creator>
  <cp:lastModifiedBy>长期潜水</cp:lastModifiedBy>
  <dcterms:modified xsi:type="dcterms:W3CDTF">2020-07-28T09:28:50Z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