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9C" w:rsidRDefault="0058669B" w:rsidP="00BE01D4">
      <w:pPr>
        <w:widowControl/>
        <w:ind w:firstLineChars="150" w:firstLine="480"/>
        <w:jc w:val="center"/>
        <w:rPr>
          <w:rFonts w:asciiTheme="majorEastAsia" w:eastAsiaTheme="majorEastAsia" w:hAnsiTheme="majorEastAsia" w:cstheme="majorBidi"/>
          <w:bCs/>
          <w:color w:val="FF0000"/>
          <w:sz w:val="32"/>
          <w:szCs w:val="32"/>
        </w:rPr>
      </w:pPr>
      <w:r>
        <w:rPr>
          <w:rFonts w:asciiTheme="majorEastAsia" w:eastAsiaTheme="majorEastAsia" w:hAnsiTheme="majorEastAsia" w:cstheme="majorBidi" w:hint="eastAsia"/>
          <w:bCs/>
          <w:sz w:val="32"/>
          <w:szCs w:val="32"/>
        </w:rPr>
        <w:t>综合评分明细表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1038"/>
        <w:gridCol w:w="402"/>
        <w:gridCol w:w="3375"/>
        <w:gridCol w:w="2886"/>
        <w:gridCol w:w="895"/>
      </w:tblGrid>
      <w:tr w:rsidR="0073369C">
        <w:trPr>
          <w:tblHeader/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评分因素及权重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评分标准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说明</w:t>
            </w: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价格15%</w:t>
            </w:r>
          </w:p>
          <w:p w:rsidR="0073369C" w:rsidRDefault="0073369C">
            <w:pPr>
              <w:pStyle w:val="a0"/>
              <w:rPr>
                <w:rFonts w:ascii="仿宋" w:eastAsia="仿宋" w:hAnsi="仿宋" w:cs="仿宋"/>
              </w:rPr>
            </w:pP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15分</w:t>
            </w:r>
          </w:p>
          <w:p w:rsidR="0073369C" w:rsidRDefault="0073369C">
            <w:pPr>
              <w:pStyle w:val="a0"/>
              <w:rPr>
                <w:rFonts w:ascii="仿宋" w:eastAsia="仿宋" w:hAnsi="仿宋" w:cs="仿宋"/>
              </w:rPr>
            </w:pP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1、以满足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文件要求且投标价格最低的报 价为评标基准价，其价格分为满分。其他投标人 的价格分统一按照下列公式计算：投标报价得分 =(评标基准价／报价)×分值；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企业能力及技术要求40%</w:t>
            </w:r>
          </w:p>
          <w:p w:rsidR="0073369C" w:rsidRDefault="0073369C">
            <w:pPr>
              <w:pStyle w:val="a0"/>
              <w:rPr>
                <w:rFonts w:ascii="仿宋" w:eastAsia="仿宋" w:hAnsi="仿宋" w:cs="仿宋"/>
              </w:rPr>
            </w:pP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pStyle w:val="a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投标人或上级总公司实验室技术平台全面，建有大型临床检验中心、病理诊断中心等全面的技术平台，且实验室规模、仪器设备、技术平台先进性均处于较高水平，能充分服务于本项目。得10分。</w:t>
            </w:r>
          </w:p>
          <w:p w:rsidR="0073369C" w:rsidRDefault="0058669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投标人或上级总公司通过ISO15189或CAP质量认可的得5分。</w:t>
            </w:r>
          </w:p>
          <w:p w:rsidR="0073369C" w:rsidRDefault="0058669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供应商在满足本项目基本人员要求的基础上，每额外增加1名中级职称的服务人员加0.5分，高级职称服务人员加1分，最多加5分；（提供配备人员的证书复印件以及为其缴纳社保的证明材料。）</w:t>
            </w:r>
          </w:p>
          <w:p w:rsidR="0073369C" w:rsidRDefault="0058669B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学术服务：具备本专业领域的学术支持和人员培训能力，承诺每年的人员培训不少于12次，并提供切实可行的技术方案，并纳入考核。内容科学合理且完整体现上述方案的得 5 分。不满足不得分。</w:t>
            </w:r>
          </w:p>
          <w:p w:rsidR="0073369C" w:rsidRDefault="0058669B">
            <w:pPr>
              <w:pStyle w:val="af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业务拓展：能协助采购人独立建设或与采购人共建检验科、病理科，并提供切实可行的技术方案，并纳入考核。内容科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学合理且完整体现上述方案的得15分，不能提供示范案例的不得分。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若中标后在服务中发现不实者视为虚假应标，合同废止.列入供应商黑名单。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技术参数25%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25分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投标产品技术参数和方法学完全符合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文件要求没有负偏离得20分，采用国际领先水平的仪器或方法学的，一项加1分，最多加5分。低于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要求的（负偏离），重要性条款（★号条款）负偏离一项扣10分，非重要性条款负偏离一项扣5分，扣完为止。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★1，提供详细投标产品技术参数和方法学证明材料。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★2、提供本次采购项目对应的质量保证（承诺函、质量保证措施等，格式自拟）。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3、提供本次采购项目报告周期（按项目类别分），格式自拟。普通检验项目报告时限≤3个工作日，特殊检验项目报告时限≤10个工作日，病理项目报告时限≤15个工作日。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技术类评分因素</w:t>
            </w:r>
          </w:p>
          <w:p w:rsidR="0073369C" w:rsidRDefault="0073369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售后服务15%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15分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1.完全满足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售后服务要求的得10分，低于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要求的（负偏离），一项扣1分，扣完为止。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2.根据投标人提供的售后服务承诺函进行评定，有优于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文件售后服务要求的，一项加1分，最多加5分。</w:t>
            </w:r>
          </w:p>
          <w:p w:rsidR="0073369C" w:rsidRDefault="0073369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1、提供全程冷链运输证明（冷链服务证明、承诺函等，格式自拟）。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2、提供信息服务证明（在线报告查询及打印等，格式自拟）。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3、提供咨询服务证明（项目选择及报告解释服务等，格式自拟）。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4、提供延伸服务证明（除本次</w:t>
            </w:r>
            <w:r w:rsidR="0055133D">
              <w:rPr>
                <w:rFonts w:ascii="仿宋" w:eastAsia="仿宋" w:hAnsi="仿宋" w:cs="仿宋" w:hint="eastAsia"/>
                <w:kern w:val="0"/>
                <w:szCs w:val="21"/>
              </w:rPr>
              <w:t>比选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项目外具备的其他检测能力，格式自拟）。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5、提供权责划分承诺（对投标单位出具的检验报告负责，提供承诺书）。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  <w:tr w:rsidR="0073369C">
        <w:trPr>
          <w:trHeight w:val="1840"/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业绩4%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4分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1.所投项目参加卫生部或省室间质评且成绩合格数量最多者得2分，其余得1分。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2.提供同类产品销售业绩（四川省内三甲医院用户），每提供一个同类业绩得0.5分，本项最多得2分。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1.提供质评证书。</w:t>
            </w:r>
          </w:p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2.提供合同或中标通知书复印件。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投标文件的规范性1%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1分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投标文件制作规范，没有细微偏差情形的得1分；有一项细微偏差扣0.5分，扣完为止。</w:t>
            </w:r>
          </w:p>
        </w:tc>
        <w:tc>
          <w:tcPr>
            <w:tcW w:w="2886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  <w:tr w:rsidR="0073369C">
        <w:trPr>
          <w:jc w:val="center"/>
        </w:trPr>
        <w:tc>
          <w:tcPr>
            <w:tcW w:w="48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noWrap/>
            <w:vAlign w:val="center"/>
          </w:tcPr>
          <w:p w:rsidR="0073369C" w:rsidRDefault="0058669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供应商失信行为 惩戒扣分  </w:t>
            </w:r>
          </w:p>
        </w:tc>
        <w:tc>
          <w:tcPr>
            <w:tcW w:w="40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0分</w:t>
            </w:r>
          </w:p>
        </w:tc>
        <w:tc>
          <w:tcPr>
            <w:tcW w:w="337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对按照《四川省政府采购当事人诚信管理办法》（川财采 [2015]33 号）记入诚信档案 的且在有效期内的失信供应商，在参加政府采购活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动中 实行直接从总分中扣除 3 分，且供应商失信行为惩戒 实行无限制累加制，直至总分扣完为。</w:t>
            </w:r>
          </w:p>
        </w:tc>
        <w:tc>
          <w:tcPr>
            <w:tcW w:w="2886" w:type="dxa"/>
            <w:noWrap/>
            <w:vAlign w:val="center"/>
          </w:tcPr>
          <w:p w:rsidR="0073369C" w:rsidRDefault="0073369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95" w:type="dxa"/>
            <w:noWrap/>
            <w:vAlign w:val="center"/>
          </w:tcPr>
          <w:p w:rsidR="0073369C" w:rsidRDefault="0058669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共同评分因素</w:t>
            </w:r>
          </w:p>
        </w:tc>
      </w:tr>
    </w:tbl>
    <w:p w:rsidR="0073369C" w:rsidRDefault="0073369C"/>
    <w:p w:rsidR="0073369C" w:rsidRDefault="0073369C">
      <w:pPr>
        <w:rPr>
          <w:rFonts w:ascii="仿宋_GB2312" w:eastAsia="仿宋_GB2312"/>
          <w:sz w:val="32"/>
          <w:szCs w:val="32"/>
        </w:rPr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58669B" w:rsidP="00DA2A0A">
      <w:pPr>
        <w:pStyle w:val="a0"/>
      </w:pPr>
      <w:r>
        <w:rPr>
          <w:rFonts w:hint="eastAsia"/>
        </w:rPr>
        <w:t xml:space="preserve">                                           </w:t>
      </w: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p w:rsidR="0073369C" w:rsidRDefault="0073369C">
      <w:pPr>
        <w:pStyle w:val="a0"/>
      </w:pPr>
    </w:p>
    <w:sectPr w:rsidR="0073369C" w:rsidSect="0073369C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61" w:rsidRDefault="00FA0761" w:rsidP="0058669B">
      <w:r>
        <w:separator/>
      </w:r>
    </w:p>
  </w:endnote>
  <w:endnote w:type="continuationSeparator" w:id="1">
    <w:p w:rsidR="00FA0761" w:rsidRDefault="00FA0761" w:rsidP="0058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61" w:rsidRDefault="00FA0761" w:rsidP="0058669B">
      <w:r>
        <w:separator/>
      </w:r>
    </w:p>
  </w:footnote>
  <w:footnote w:type="continuationSeparator" w:id="1">
    <w:p w:rsidR="00FA0761" w:rsidRDefault="00FA0761" w:rsidP="0058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54D"/>
    <w:multiLevelType w:val="hybridMultilevel"/>
    <w:tmpl w:val="FB7EA140"/>
    <w:lvl w:ilvl="0" w:tplc="DD3E4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4401DA"/>
    <w:multiLevelType w:val="multilevel"/>
    <w:tmpl w:val="494401DA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2C2F"/>
    <w:rsid w:val="000057B9"/>
    <w:rsid w:val="00007CCA"/>
    <w:rsid w:val="00025B49"/>
    <w:rsid w:val="000537E2"/>
    <w:rsid w:val="00055200"/>
    <w:rsid w:val="00064A89"/>
    <w:rsid w:val="00066A44"/>
    <w:rsid w:val="0007412D"/>
    <w:rsid w:val="00081A40"/>
    <w:rsid w:val="00092049"/>
    <w:rsid w:val="00093D95"/>
    <w:rsid w:val="000A382A"/>
    <w:rsid w:val="000A3AA8"/>
    <w:rsid w:val="000B472F"/>
    <w:rsid w:val="000C51AC"/>
    <w:rsid w:val="000D14BA"/>
    <w:rsid w:val="000D33F6"/>
    <w:rsid w:val="00102727"/>
    <w:rsid w:val="00105A16"/>
    <w:rsid w:val="00153488"/>
    <w:rsid w:val="00155A55"/>
    <w:rsid w:val="00161E99"/>
    <w:rsid w:val="00185774"/>
    <w:rsid w:val="00195F84"/>
    <w:rsid w:val="001A0DA3"/>
    <w:rsid w:val="001C61E2"/>
    <w:rsid w:val="001C69ED"/>
    <w:rsid w:val="001E6074"/>
    <w:rsid w:val="0020087B"/>
    <w:rsid w:val="00201D91"/>
    <w:rsid w:val="002067CA"/>
    <w:rsid w:val="00207EA6"/>
    <w:rsid w:val="00214E47"/>
    <w:rsid w:val="0022780D"/>
    <w:rsid w:val="002307F1"/>
    <w:rsid w:val="002505EC"/>
    <w:rsid w:val="002539D9"/>
    <w:rsid w:val="00262FE8"/>
    <w:rsid w:val="00273E79"/>
    <w:rsid w:val="002908A6"/>
    <w:rsid w:val="00295EE3"/>
    <w:rsid w:val="002971AA"/>
    <w:rsid w:val="002A41A9"/>
    <w:rsid w:val="002B33FB"/>
    <w:rsid w:val="002B524A"/>
    <w:rsid w:val="002D1A6A"/>
    <w:rsid w:val="002D1C66"/>
    <w:rsid w:val="002E1BE6"/>
    <w:rsid w:val="002F4D80"/>
    <w:rsid w:val="002F5789"/>
    <w:rsid w:val="00316F68"/>
    <w:rsid w:val="0032306C"/>
    <w:rsid w:val="0033043C"/>
    <w:rsid w:val="003505F2"/>
    <w:rsid w:val="003568B7"/>
    <w:rsid w:val="003621A7"/>
    <w:rsid w:val="003623D4"/>
    <w:rsid w:val="00365C3B"/>
    <w:rsid w:val="00372E82"/>
    <w:rsid w:val="0038251D"/>
    <w:rsid w:val="003A2730"/>
    <w:rsid w:val="003A3A2B"/>
    <w:rsid w:val="003A5284"/>
    <w:rsid w:val="003B18F3"/>
    <w:rsid w:val="003B2408"/>
    <w:rsid w:val="003B4660"/>
    <w:rsid w:val="003D4AED"/>
    <w:rsid w:val="004019B9"/>
    <w:rsid w:val="00407AB0"/>
    <w:rsid w:val="004105A9"/>
    <w:rsid w:val="00417C7B"/>
    <w:rsid w:val="004269DF"/>
    <w:rsid w:val="00440898"/>
    <w:rsid w:val="00444268"/>
    <w:rsid w:val="0045370E"/>
    <w:rsid w:val="00461E46"/>
    <w:rsid w:val="004778A7"/>
    <w:rsid w:val="00495A76"/>
    <w:rsid w:val="004A254A"/>
    <w:rsid w:val="004A5AA7"/>
    <w:rsid w:val="004B033F"/>
    <w:rsid w:val="004B7E16"/>
    <w:rsid w:val="004C2ED7"/>
    <w:rsid w:val="004E0A98"/>
    <w:rsid w:val="005062AC"/>
    <w:rsid w:val="00507D26"/>
    <w:rsid w:val="00534E68"/>
    <w:rsid w:val="00536812"/>
    <w:rsid w:val="005423EA"/>
    <w:rsid w:val="0055133D"/>
    <w:rsid w:val="00553959"/>
    <w:rsid w:val="00563D59"/>
    <w:rsid w:val="00572764"/>
    <w:rsid w:val="00577ABC"/>
    <w:rsid w:val="0058669B"/>
    <w:rsid w:val="00590468"/>
    <w:rsid w:val="005A53E7"/>
    <w:rsid w:val="005A69C9"/>
    <w:rsid w:val="005A7866"/>
    <w:rsid w:val="005B5EF3"/>
    <w:rsid w:val="005C1EC5"/>
    <w:rsid w:val="005C6A1D"/>
    <w:rsid w:val="005D4F80"/>
    <w:rsid w:val="005E3069"/>
    <w:rsid w:val="005F474A"/>
    <w:rsid w:val="006000CF"/>
    <w:rsid w:val="00600196"/>
    <w:rsid w:val="00602718"/>
    <w:rsid w:val="00610F91"/>
    <w:rsid w:val="00612484"/>
    <w:rsid w:val="00616DEA"/>
    <w:rsid w:val="00624929"/>
    <w:rsid w:val="00625B94"/>
    <w:rsid w:val="006301E3"/>
    <w:rsid w:val="006413FF"/>
    <w:rsid w:val="00642088"/>
    <w:rsid w:val="00653E7D"/>
    <w:rsid w:val="00663AED"/>
    <w:rsid w:val="00672089"/>
    <w:rsid w:val="00685440"/>
    <w:rsid w:val="00690D16"/>
    <w:rsid w:val="0069119A"/>
    <w:rsid w:val="006A271B"/>
    <w:rsid w:val="006B7425"/>
    <w:rsid w:val="006C0D08"/>
    <w:rsid w:val="006F40DB"/>
    <w:rsid w:val="00704703"/>
    <w:rsid w:val="007107FD"/>
    <w:rsid w:val="007163B2"/>
    <w:rsid w:val="00720356"/>
    <w:rsid w:val="0072391A"/>
    <w:rsid w:val="0072641F"/>
    <w:rsid w:val="0073369C"/>
    <w:rsid w:val="00735487"/>
    <w:rsid w:val="00755A0F"/>
    <w:rsid w:val="00757FCC"/>
    <w:rsid w:val="007630F3"/>
    <w:rsid w:val="00784171"/>
    <w:rsid w:val="00795381"/>
    <w:rsid w:val="00797173"/>
    <w:rsid w:val="007A7F91"/>
    <w:rsid w:val="007B05BF"/>
    <w:rsid w:val="007B18DB"/>
    <w:rsid w:val="007B627B"/>
    <w:rsid w:val="007D6BD8"/>
    <w:rsid w:val="007E286F"/>
    <w:rsid w:val="007F756B"/>
    <w:rsid w:val="00800C79"/>
    <w:rsid w:val="00823E19"/>
    <w:rsid w:val="00826177"/>
    <w:rsid w:val="008418D0"/>
    <w:rsid w:val="00845970"/>
    <w:rsid w:val="008567E0"/>
    <w:rsid w:val="0086016E"/>
    <w:rsid w:val="00870B6B"/>
    <w:rsid w:val="00886F05"/>
    <w:rsid w:val="00893660"/>
    <w:rsid w:val="008948D9"/>
    <w:rsid w:val="008A2545"/>
    <w:rsid w:val="008A4B29"/>
    <w:rsid w:val="008A6113"/>
    <w:rsid w:val="008B7038"/>
    <w:rsid w:val="008B77F9"/>
    <w:rsid w:val="008D210E"/>
    <w:rsid w:val="008E47FD"/>
    <w:rsid w:val="008E5E86"/>
    <w:rsid w:val="008F51AC"/>
    <w:rsid w:val="00900237"/>
    <w:rsid w:val="00913CA6"/>
    <w:rsid w:val="00916AB4"/>
    <w:rsid w:val="00924D65"/>
    <w:rsid w:val="0094378C"/>
    <w:rsid w:val="00955D2B"/>
    <w:rsid w:val="00956A37"/>
    <w:rsid w:val="009678AC"/>
    <w:rsid w:val="00985FFB"/>
    <w:rsid w:val="009901EC"/>
    <w:rsid w:val="00992C4A"/>
    <w:rsid w:val="009957B6"/>
    <w:rsid w:val="009A37A1"/>
    <w:rsid w:val="009A4211"/>
    <w:rsid w:val="009B2E1A"/>
    <w:rsid w:val="009B3C93"/>
    <w:rsid w:val="009B61BF"/>
    <w:rsid w:val="009C0FF1"/>
    <w:rsid w:val="009D26F2"/>
    <w:rsid w:val="009D35CD"/>
    <w:rsid w:val="009D59DC"/>
    <w:rsid w:val="009D6B2F"/>
    <w:rsid w:val="009D7628"/>
    <w:rsid w:val="009F19C5"/>
    <w:rsid w:val="009F29AA"/>
    <w:rsid w:val="00A17B7D"/>
    <w:rsid w:val="00A2314D"/>
    <w:rsid w:val="00A31799"/>
    <w:rsid w:val="00A320D5"/>
    <w:rsid w:val="00A34161"/>
    <w:rsid w:val="00A40595"/>
    <w:rsid w:val="00A42480"/>
    <w:rsid w:val="00A516A4"/>
    <w:rsid w:val="00A55B91"/>
    <w:rsid w:val="00A73D92"/>
    <w:rsid w:val="00A73DA8"/>
    <w:rsid w:val="00A8268A"/>
    <w:rsid w:val="00A87AB5"/>
    <w:rsid w:val="00AA7540"/>
    <w:rsid w:val="00AC6AA0"/>
    <w:rsid w:val="00AD3D29"/>
    <w:rsid w:val="00AE099F"/>
    <w:rsid w:val="00AE464E"/>
    <w:rsid w:val="00AE60EC"/>
    <w:rsid w:val="00AE68F9"/>
    <w:rsid w:val="00B00DFB"/>
    <w:rsid w:val="00B12B25"/>
    <w:rsid w:val="00B23712"/>
    <w:rsid w:val="00B25BFB"/>
    <w:rsid w:val="00B32B1D"/>
    <w:rsid w:val="00B406DC"/>
    <w:rsid w:val="00B46DB6"/>
    <w:rsid w:val="00B46F21"/>
    <w:rsid w:val="00B605EA"/>
    <w:rsid w:val="00B63EAC"/>
    <w:rsid w:val="00B7139C"/>
    <w:rsid w:val="00B72844"/>
    <w:rsid w:val="00B73E5D"/>
    <w:rsid w:val="00B85990"/>
    <w:rsid w:val="00B91A0A"/>
    <w:rsid w:val="00BB47EA"/>
    <w:rsid w:val="00BC37D5"/>
    <w:rsid w:val="00BE01D4"/>
    <w:rsid w:val="00BE168D"/>
    <w:rsid w:val="00C12228"/>
    <w:rsid w:val="00C1681C"/>
    <w:rsid w:val="00C2450D"/>
    <w:rsid w:val="00C370DD"/>
    <w:rsid w:val="00C43DD4"/>
    <w:rsid w:val="00C54D2B"/>
    <w:rsid w:val="00C77109"/>
    <w:rsid w:val="00C81F82"/>
    <w:rsid w:val="00C8454F"/>
    <w:rsid w:val="00C85E65"/>
    <w:rsid w:val="00CB047B"/>
    <w:rsid w:val="00CB2412"/>
    <w:rsid w:val="00CC79C0"/>
    <w:rsid w:val="00CD0019"/>
    <w:rsid w:val="00D0126B"/>
    <w:rsid w:val="00D018E4"/>
    <w:rsid w:val="00D454F1"/>
    <w:rsid w:val="00D46E23"/>
    <w:rsid w:val="00D6185A"/>
    <w:rsid w:val="00D62944"/>
    <w:rsid w:val="00D72956"/>
    <w:rsid w:val="00D85A34"/>
    <w:rsid w:val="00DA2A0A"/>
    <w:rsid w:val="00DA58F5"/>
    <w:rsid w:val="00DB2287"/>
    <w:rsid w:val="00DB49CA"/>
    <w:rsid w:val="00DC0B30"/>
    <w:rsid w:val="00DF2C2F"/>
    <w:rsid w:val="00E05731"/>
    <w:rsid w:val="00E05B1E"/>
    <w:rsid w:val="00E203FE"/>
    <w:rsid w:val="00E34801"/>
    <w:rsid w:val="00E3591E"/>
    <w:rsid w:val="00E41AA1"/>
    <w:rsid w:val="00E42DE1"/>
    <w:rsid w:val="00E43184"/>
    <w:rsid w:val="00E4426C"/>
    <w:rsid w:val="00E44454"/>
    <w:rsid w:val="00E50666"/>
    <w:rsid w:val="00E706BC"/>
    <w:rsid w:val="00E93073"/>
    <w:rsid w:val="00EA28C2"/>
    <w:rsid w:val="00ED36D0"/>
    <w:rsid w:val="00EE3ED2"/>
    <w:rsid w:val="00EF7C76"/>
    <w:rsid w:val="00F03F21"/>
    <w:rsid w:val="00F12AE1"/>
    <w:rsid w:val="00F14CE9"/>
    <w:rsid w:val="00F271FC"/>
    <w:rsid w:val="00F740EF"/>
    <w:rsid w:val="00F7426F"/>
    <w:rsid w:val="00F74856"/>
    <w:rsid w:val="00F91957"/>
    <w:rsid w:val="00FA0761"/>
    <w:rsid w:val="00FA3EB2"/>
    <w:rsid w:val="00FA724C"/>
    <w:rsid w:val="00FB3D21"/>
    <w:rsid w:val="00FB41C0"/>
    <w:rsid w:val="00FC4E93"/>
    <w:rsid w:val="00FE1401"/>
    <w:rsid w:val="01BC1D3C"/>
    <w:rsid w:val="02AD016B"/>
    <w:rsid w:val="02B40960"/>
    <w:rsid w:val="08B14164"/>
    <w:rsid w:val="0AEA6792"/>
    <w:rsid w:val="0D2B267A"/>
    <w:rsid w:val="11D65350"/>
    <w:rsid w:val="1411707D"/>
    <w:rsid w:val="14BC198A"/>
    <w:rsid w:val="1830395C"/>
    <w:rsid w:val="18397BC0"/>
    <w:rsid w:val="19C101BE"/>
    <w:rsid w:val="1A7B5823"/>
    <w:rsid w:val="1EDD7920"/>
    <w:rsid w:val="258443F9"/>
    <w:rsid w:val="26A91A61"/>
    <w:rsid w:val="3020061F"/>
    <w:rsid w:val="330C25E6"/>
    <w:rsid w:val="42637596"/>
    <w:rsid w:val="4497087A"/>
    <w:rsid w:val="538405DC"/>
    <w:rsid w:val="53EA5DB3"/>
    <w:rsid w:val="58F62F25"/>
    <w:rsid w:val="5D5E7883"/>
    <w:rsid w:val="61672436"/>
    <w:rsid w:val="64CF160F"/>
    <w:rsid w:val="67BA15C5"/>
    <w:rsid w:val="6BFD2EC1"/>
    <w:rsid w:val="7CD00164"/>
    <w:rsid w:val="7F31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3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3369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73369C"/>
    <w:pPr>
      <w:spacing w:after="120" w:line="259" w:lineRule="auto"/>
    </w:pPr>
    <w:rPr>
      <w:rFonts w:ascii="Calibri" w:eastAsia="宋体" w:hAnsi="Calibri" w:cs="Times New Roman"/>
      <w:szCs w:val="24"/>
    </w:rPr>
  </w:style>
  <w:style w:type="paragraph" w:styleId="a4">
    <w:name w:val="Normal Indent"/>
    <w:basedOn w:val="a"/>
    <w:qFormat/>
    <w:rsid w:val="0073369C"/>
    <w:pPr>
      <w:spacing w:after="160" w:line="259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annotation text"/>
    <w:basedOn w:val="a"/>
    <w:link w:val="Char0"/>
    <w:unhideWhenUsed/>
    <w:qFormat/>
    <w:rsid w:val="0073369C"/>
    <w:pPr>
      <w:jc w:val="left"/>
    </w:pPr>
  </w:style>
  <w:style w:type="paragraph" w:styleId="a6">
    <w:name w:val="Body Text Indent"/>
    <w:basedOn w:val="a"/>
    <w:link w:val="Char1"/>
    <w:uiPriority w:val="99"/>
    <w:unhideWhenUsed/>
    <w:qFormat/>
    <w:rsid w:val="0073369C"/>
    <w:pPr>
      <w:spacing w:after="120"/>
      <w:ind w:leftChars="200" w:left="42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73369C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73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73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Char5"/>
    <w:uiPriority w:val="10"/>
    <w:qFormat/>
    <w:rsid w:val="007336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annotation subject"/>
    <w:basedOn w:val="a5"/>
    <w:next w:val="a5"/>
    <w:link w:val="Char6"/>
    <w:uiPriority w:val="99"/>
    <w:semiHidden/>
    <w:unhideWhenUsed/>
    <w:qFormat/>
    <w:rsid w:val="0073369C"/>
    <w:rPr>
      <w:b/>
      <w:bCs/>
    </w:rPr>
  </w:style>
  <w:style w:type="table" w:styleId="ac">
    <w:name w:val="Table Grid"/>
    <w:basedOn w:val="a2"/>
    <w:uiPriority w:val="59"/>
    <w:qFormat/>
    <w:rsid w:val="00733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sid w:val="0073369C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sid w:val="0073369C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sid w:val="0073369C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73369C"/>
    <w:rPr>
      <w:sz w:val="18"/>
      <w:szCs w:val="18"/>
    </w:rPr>
  </w:style>
  <w:style w:type="table" w:customStyle="1" w:styleId="2">
    <w:name w:val="网格型2"/>
    <w:basedOn w:val="a2"/>
    <w:uiPriority w:val="59"/>
    <w:qFormat/>
    <w:rsid w:val="007336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首行缩进:  2 字符"/>
    <w:basedOn w:val="a"/>
    <w:qFormat/>
    <w:rsid w:val="0073369C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  <w:style w:type="character" w:customStyle="1" w:styleId="Char">
    <w:name w:val="正文文本 Char"/>
    <w:basedOn w:val="a1"/>
    <w:link w:val="a0"/>
    <w:qFormat/>
    <w:rsid w:val="0073369C"/>
    <w:rPr>
      <w:rFonts w:ascii="Calibri" w:eastAsia="宋体" w:hAnsi="Calibri" w:cs="Times New Roman"/>
      <w:szCs w:val="24"/>
    </w:rPr>
  </w:style>
  <w:style w:type="character" w:customStyle="1" w:styleId="Char5">
    <w:name w:val="标题 Char"/>
    <w:basedOn w:val="a1"/>
    <w:link w:val="aa"/>
    <w:uiPriority w:val="10"/>
    <w:qFormat/>
    <w:rsid w:val="0073369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qFormat/>
    <w:rsid w:val="0073369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批注框文本 Char"/>
    <w:basedOn w:val="a1"/>
    <w:link w:val="a7"/>
    <w:uiPriority w:val="99"/>
    <w:semiHidden/>
    <w:qFormat/>
    <w:rsid w:val="0073369C"/>
    <w:rPr>
      <w:sz w:val="18"/>
      <w:szCs w:val="18"/>
    </w:rPr>
  </w:style>
  <w:style w:type="character" w:customStyle="1" w:styleId="Char0">
    <w:name w:val="批注文字 Char"/>
    <w:basedOn w:val="a1"/>
    <w:link w:val="a5"/>
    <w:qFormat/>
    <w:rsid w:val="0073369C"/>
  </w:style>
  <w:style w:type="character" w:customStyle="1" w:styleId="Char6">
    <w:name w:val="批注主题 Char"/>
    <w:basedOn w:val="Char0"/>
    <w:link w:val="ab"/>
    <w:uiPriority w:val="99"/>
    <w:semiHidden/>
    <w:qFormat/>
    <w:rsid w:val="0073369C"/>
    <w:rPr>
      <w:b/>
      <w:bCs/>
    </w:rPr>
  </w:style>
  <w:style w:type="paragraph" w:customStyle="1" w:styleId="10">
    <w:name w:val="修订1"/>
    <w:hidden/>
    <w:uiPriority w:val="99"/>
    <w:semiHidden/>
    <w:qFormat/>
    <w:rsid w:val="0073369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1"/>
    <w:uiPriority w:val="99"/>
    <w:semiHidden/>
    <w:unhideWhenUsed/>
    <w:qFormat/>
    <w:rsid w:val="0073369C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rsid w:val="0073369C"/>
    <w:pPr>
      <w:ind w:firstLineChars="200" w:firstLine="420"/>
    </w:pPr>
  </w:style>
  <w:style w:type="character" w:customStyle="1" w:styleId="Char1">
    <w:name w:val="正文文本缩进 Char"/>
    <w:basedOn w:val="a1"/>
    <w:link w:val="a6"/>
    <w:uiPriority w:val="99"/>
    <w:qFormat/>
    <w:rsid w:val="0073369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F21DD-B040-499F-8559-EC2C417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Administrator</cp:lastModifiedBy>
  <cp:revision>99</cp:revision>
  <cp:lastPrinted>2021-03-02T01:35:00Z</cp:lastPrinted>
  <dcterms:created xsi:type="dcterms:W3CDTF">2018-10-08T08:13:00Z</dcterms:created>
  <dcterms:modified xsi:type="dcterms:W3CDTF">2021-03-02T06:59:00Z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