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附件一：功能需求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1.兼容性强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支持全面兼容CT、磁共振、核医学等设备影像后处理功能。而且支持不同厂商如飞利浦、GE、Siemens、Toshiba等符合相关影像协议标准的厂商的影像设备。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2.瘦客户端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核心服务授权在服务器上，对客户端要求低。通过 “流媒体”显示技术，通过局域网、万维网或任何连接医院VPN的宽带互联网， “流媒体”显示技术都能使图像在客户端设备上显示，而无需将CT、磁共振、核医学等影像数据下载到客户端电脑上，繁重的数据搬运和处理都在服务器上完成。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3.全并发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支持多台终端并行高级三维后处理，影像后处理稳定性高。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4.多智能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自动预处理，优化工作流程，节省影像诊断时间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实现心脏、血管、肺结节、肝脏、灌注等影像全方位的自动预处理流程。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5.无缝连接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与医院现有PACS系统的无缝连接，同一界面集成，自由切换，可解决现有PACS系统在普通后处理功能方面的不足。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6.方案含5个高级后处理工作站并发数，大于40个普通后处理工作站并发数</w:t>
      </w:r>
    </w:p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2021-04-21T01:37:36Z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74678ACF813B4B5C8462C44C6791EDDA</vt:lpwstr>
  </property>
</Properties>
</file>