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"/>
        <w:gridCol w:w="787"/>
        <w:gridCol w:w="3314"/>
        <w:gridCol w:w="4765"/>
        <w:gridCol w:w="1560"/>
        <w:gridCol w:w="708"/>
        <w:gridCol w:w="1701"/>
        <w:gridCol w:w="1787"/>
      </w:tblGrid>
      <w:tr>
        <w:trPr>
          <w:trHeight w:val="1247" w:hRule="atLeast"/>
        </w:trPr>
        <w:tc>
          <w:tcPr>
            <w:tcW w:w="15390" w:type="dxa"/>
            <w:gridSpan w:val="8"/>
            <w:shd w:val="clear" w:color="auto" w:fill="1F3763"/>
          </w:tcPr>
          <w:p>
            <w:pPr>
              <w:pStyle w:val="TableParagraph"/>
              <w:spacing w:line="623" w:lineRule="exact"/>
              <w:ind w:left="3269" w:right="3313"/>
              <w:jc w:val="center"/>
              <w:rPr>
                <w:rFonts w:ascii="微软雅黑" w:eastAsia="微软雅黑" w:hint="eastAsia"/>
                <w:b/>
                <w:sz w:val="36"/>
              </w:rPr>
            </w:pPr>
            <w:r>
              <w:rPr>
                <w:rFonts w:ascii="微软雅黑" w:eastAsia="微软雅黑" w:hint="eastAsia"/>
                <w:b/>
                <w:color w:val="FFFFFF"/>
                <w:spacing w:val="57"/>
                <w:sz w:val="36"/>
              </w:rPr>
              <w:t>全国肺栓塞和深静脉血栓形成防治能力建设项目</w:t>
            </w:r>
          </w:p>
          <w:p>
            <w:pPr>
              <w:pStyle w:val="TableParagraph"/>
              <w:spacing w:line="605" w:lineRule="exact"/>
              <w:ind w:left="3269" w:right="3256"/>
              <w:jc w:val="center"/>
              <w:rPr>
                <w:rFonts w:ascii="微软雅黑" w:eastAsia="微软雅黑" w:hint="eastAsia"/>
                <w:b/>
                <w:sz w:val="36"/>
              </w:rPr>
            </w:pPr>
            <w:r>
              <w:rPr>
                <w:rFonts w:ascii="微软雅黑" w:eastAsia="微软雅黑" w:hint="eastAsia"/>
                <w:b/>
                <w:color w:val="FFFFFF"/>
                <w:sz w:val="36"/>
              </w:rPr>
              <w:t>信息化应用与质控管理建议（2020 版）</w:t>
            </w:r>
          </w:p>
        </w:tc>
      </w:tr>
      <w:tr>
        <w:trPr>
          <w:trHeight w:val="624" w:hRule="atLeast"/>
        </w:trPr>
        <w:tc>
          <w:tcPr>
            <w:tcW w:w="768" w:type="dxa"/>
            <w:shd w:val="clear" w:color="auto" w:fill="1F3763"/>
          </w:tcPr>
          <w:p>
            <w:pPr>
              <w:pStyle w:val="TableParagraph"/>
              <w:spacing w:line="305" w:lineRule="exact"/>
              <w:ind w:left="184"/>
              <w:rPr>
                <w:rFonts w:ascii="微软雅黑" w:eastAsia="微软雅黑" w:hint="eastAsia"/>
                <w:b/>
                <w:sz w:val="20"/>
              </w:rPr>
            </w:pPr>
            <w:r>
              <w:rPr>
                <w:rFonts w:ascii="微软雅黑" w:eastAsia="微软雅黑" w:hint="eastAsia"/>
                <w:b/>
                <w:color w:val="FFFFFF"/>
                <w:w w:val="95"/>
                <w:sz w:val="20"/>
              </w:rPr>
              <w:t>项目</w:t>
            </w:r>
          </w:p>
          <w:p>
            <w:pPr>
              <w:pStyle w:val="TableParagraph"/>
              <w:spacing w:line="299" w:lineRule="exact"/>
              <w:ind w:left="184"/>
              <w:rPr>
                <w:rFonts w:ascii="微软雅黑" w:eastAsia="微软雅黑" w:hint="eastAsia"/>
                <w:b/>
                <w:sz w:val="20"/>
              </w:rPr>
            </w:pPr>
            <w:r>
              <w:rPr>
                <w:rFonts w:ascii="微软雅黑" w:eastAsia="微软雅黑" w:hint="eastAsia"/>
                <w:b/>
                <w:color w:val="FFFFFF"/>
                <w:w w:val="95"/>
                <w:sz w:val="20"/>
              </w:rPr>
              <w:t>编号</w:t>
            </w:r>
          </w:p>
        </w:tc>
        <w:tc>
          <w:tcPr>
            <w:tcW w:w="787" w:type="dxa"/>
            <w:shd w:val="clear" w:color="auto" w:fill="1F3763"/>
          </w:tcPr>
          <w:p>
            <w:pPr>
              <w:pStyle w:val="TableParagraph"/>
              <w:spacing w:line="295" w:lineRule="exact"/>
              <w:ind w:left="191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color w:val="FFFFFF"/>
                <w:w w:val="95"/>
                <w:sz w:val="20"/>
              </w:rPr>
              <w:t>功能</w:t>
            </w:r>
          </w:p>
          <w:p>
            <w:pPr>
              <w:pStyle w:val="TableParagraph"/>
              <w:spacing w:line="309" w:lineRule="exact"/>
              <w:ind w:left="191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color w:val="FFFFFF"/>
                <w:w w:val="95"/>
                <w:sz w:val="20"/>
              </w:rPr>
              <w:t>需求</w:t>
            </w:r>
          </w:p>
        </w:tc>
        <w:tc>
          <w:tcPr>
            <w:tcW w:w="3314" w:type="dxa"/>
            <w:shd w:val="clear" w:color="auto" w:fill="1F3763"/>
          </w:tcPr>
          <w:p>
            <w:pPr>
              <w:pStyle w:val="TableParagraph"/>
              <w:spacing w:before="111"/>
              <w:ind w:left="1237" w:right="1227"/>
              <w:jc w:val="center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color w:val="FFFFFF"/>
                <w:sz w:val="20"/>
              </w:rPr>
              <w:t>临床规范</w:t>
            </w:r>
          </w:p>
        </w:tc>
        <w:tc>
          <w:tcPr>
            <w:tcW w:w="4765" w:type="dxa"/>
            <w:shd w:val="clear" w:color="auto" w:fill="1F3763"/>
          </w:tcPr>
          <w:p>
            <w:pPr>
              <w:pStyle w:val="TableParagraph"/>
              <w:spacing w:before="111"/>
              <w:ind w:left="1962" w:right="1953"/>
              <w:jc w:val="center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color w:val="FFFFFF"/>
                <w:sz w:val="20"/>
              </w:rPr>
              <w:t>系统功能</w:t>
            </w:r>
          </w:p>
        </w:tc>
        <w:tc>
          <w:tcPr>
            <w:tcW w:w="1560" w:type="dxa"/>
            <w:shd w:val="clear" w:color="auto" w:fill="1F3763"/>
          </w:tcPr>
          <w:p>
            <w:pPr>
              <w:pStyle w:val="TableParagraph"/>
              <w:spacing w:before="111"/>
              <w:ind w:left="378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color w:val="FFFFFF"/>
                <w:sz w:val="20"/>
              </w:rPr>
              <w:t>应用范围</w:t>
            </w:r>
          </w:p>
        </w:tc>
        <w:tc>
          <w:tcPr>
            <w:tcW w:w="708" w:type="dxa"/>
            <w:shd w:val="clear" w:color="auto" w:fill="1F3763"/>
          </w:tcPr>
          <w:p>
            <w:pPr>
              <w:pStyle w:val="TableParagraph"/>
              <w:spacing w:line="295" w:lineRule="exact"/>
              <w:ind w:left="152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color w:val="FFFFFF"/>
                <w:w w:val="95"/>
                <w:sz w:val="20"/>
              </w:rPr>
              <w:t>功能</w:t>
            </w:r>
          </w:p>
          <w:p>
            <w:pPr>
              <w:pStyle w:val="TableParagraph"/>
              <w:spacing w:line="309" w:lineRule="exact"/>
              <w:ind w:left="152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color w:val="FFFFFF"/>
                <w:w w:val="95"/>
                <w:sz w:val="20"/>
              </w:rPr>
              <w:t>评分</w:t>
            </w:r>
          </w:p>
        </w:tc>
        <w:tc>
          <w:tcPr>
            <w:tcW w:w="1701" w:type="dxa"/>
            <w:shd w:val="clear" w:color="auto" w:fill="1F3763"/>
          </w:tcPr>
          <w:p>
            <w:pPr>
              <w:pStyle w:val="TableParagraph"/>
              <w:spacing w:before="111"/>
              <w:ind w:left="450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color w:val="FFFFFF"/>
                <w:sz w:val="20"/>
              </w:rPr>
              <w:t>应用评分</w:t>
            </w:r>
          </w:p>
        </w:tc>
        <w:tc>
          <w:tcPr>
            <w:tcW w:w="1787" w:type="dxa"/>
            <w:shd w:val="clear" w:color="auto" w:fill="1F3763"/>
          </w:tcPr>
          <w:p>
            <w:pPr>
              <w:pStyle w:val="TableParagraph"/>
              <w:spacing w:before="111"/>
              <w:ind w:left="491"/>
              <w:rPr>
                <w:rFonts w:ascii="Microsoft JhengHei" w:eastAsia="Microsoft JhengHei" w:hint="eastAsia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color w:val="FFFFFF"/>
                <w:sz w:val="20"/>
              </w:rPr>
              <w:t>综合评分</w:t>
            </w:r>
          </w:p>
        </w:tc>
      </w:tr>
      <w:tr>
        <w:trPr>
          <w:trHeight w:val="320" w:hRule="atLeast"/>
        </w:trPr>
        <w:tc>
          <w:tcPr>
            <w:tcW w:w="768" w:type="dxa"/>
          </w:tcPr>
          <w:p>
            <w:pPr>
              <w:pStyle w:val="TableParagraph"/>
              <w:spacing w:line="274" w:lineRule="exact" w:before="25"/>
              <w:ind w:left="199" w:right="193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1-1</w:t>
            </w:r>
          </w:p>
        </w:tc>
        <w:tc>
          <w:tcPr>
            <w:tcW w:w="78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68" w:lineRule="auto"/>
              <w:ind w:left="191" w:right="185"/>
              <w:rPr>
                <w:sz w:val="20"/>
              </w:rPr>
            </w:pPr>
            <w:r>
              <w:rPr>
                <w:sz w:val="20"/>
              </w:rPr>
              <w:t>风险评估</w:t>
            </w:r>
          </w:p>
        </w:tc>
        <w:tc>
          <w:tcPr>
            <w:tcW w:w="331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09" w:val="left" w:leader="none"/>
              </w:tabs>
              <w:spacing w:line="268" w:lineRule="auto" w:before="0" w:after="0"/>
              <w:ind w:left="107" w:right="98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医院应对住院患者进行 </w:t>
            </w:r>
            <w:r>
              <w:rPr>
                <w:sz w:val="20"/>
              </w:rPr>
              <w:t>VTE/出</w:t>
            </w:r>
            <w:r>
              <w:rPr>
                <w:spacing w:val="-4"/>
                <w:sz w:val="20"/>
              </w:rPr>
              <w:t>血风险评估，制定 </w:t>
            </w:r>
            <w:r>
              <w:rPr>
                <w:sz w:val="20"/>
              </w:rPr>
              <w:t>VTE/出血风险评估的标准化流程与规范制度。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09" w:val="left" w:leader="none"/>
              </w:tabs>
              <w:spacing w:line="268" w:lineRule="auto" w:before="0" w:after="0"/>
              <w:ind w:left="107" w:right="98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医院应使用统一的 </w:t>
            </w:r>
            <w:r>
              <w:rPr>
                <w:sz w:val="20"/>
              </w:rPr>
              <w:t>VTE/出血风</w:t>
            </w:r>
            <w:r>
              <w:rPr>
                <w:spacing w:val="-3"/>
                <w:sz w:val="20"/>
              </w:rPr>
              <w:t>险评估量表进行准确评估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09" w:val="left" w:leader="none"/>
              </w:tabs>
              <w:spacing w:line="268" w:lineRule="auto" w:before="0" w:after="0"/>
              <w:ind w:left="107" w:right="95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住院期间，针对病情变化的患者应实行动态的 </w:t>
            </w:r>
            <w:r>
              <w:rPr>
                <w:sz w:val="20"/>
              </w:rPr>
              <w:t>VTE/出血风险评估， 评估及时、规范。</w:t>
            </w:r>
          </w:p>
        </w:tc>
        <w:tc>
          <w:tcPr>
            <w:tcW w:w="4765" w:type="dxa"/>
          </w:tcPr>
          <w:p>
            <w:pPr>
              <w:pStyle w:val="TableParagraph"/>
              <w:spacing w:line="274" w:lineRule="exact" w:before="25"/>
              <w:ind w:left="108"/>
              <w:rPr>
                <w:sz w:val="20"/>
              </w:rPr>
            </w:pPr>
            <w:r>
              <w:rPr>
                <w:sz w:val="20"/>
              </w:rPr>
              <w:t>利用纸质表格开展风险评估。信息系统功能 0 级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68" w:lineRule="auto"/>
              <w:ind w:left="107" w:right="130"/>
              <w:jc w:val="both"/>
              <w:rPr>
                <w:sz w:val="20"/>
              </w:rPr>
            </w:pPr>
            <w:r>
              <w:rPr>
                <w:sz w:val="20"/>
              </w:rPr>
              <w:t>患者范围/流程节点/评估类型/ 评估元素/病种范围/评估角色等(实际应用范围与数量/规范要求的数量=应用比率)</w:t>
            </w:r>
          </w:p>
        </w:tc>
        <w:tc>
          <w:tcPr>
            <w:tcW w:w="708" w:type="dxa"/>
          </w:tcPr>
          <w:p>
            <w:pPr>
              <w:pStyle w:val="TableParagraph"/>
              <w:spacing w:line="274" w:lineRule="exact" w:before="25"/>
              <w:ind w:left="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68" w:lineRule="auto"/>
              <w:ind w:left="121" w:right="110" w:hanging="1"/>
              <w:jc w:val="center"/>
              <w:rPr>
                <w:sz w:val="20"/>
              </w:rPr>
            </w:pPr>
            <w:r>
              <w:rPr>
                <w:sz w:val="20"/>
              </w:rPr>
              <w:t>应用比率（实际使用数量/规范要求数量）例如： 进行预防风险评估的数量/一定时期全部入院患者数量=预防风险评估率。</w:t>
            </w:r>
          </w:p>
        </w:tc>
        <w:tc>
          <w:tcPr>
            <w:tcW w:w="178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68" w:lineRule="auto"/>
              <w:ind w:left="107" w:right="68"/>
              <w:jc w:val="both"/>
              <w:rPr>
                <w:sz w:val="20"/>
              </w:rPr>
            </w:pPr>
            <w:r>
              <w:rPr>
                <w:sz w:val="20"/>
              </w:rPr>
              <w:t>功能评分*应用比率。例如：系统功能为 4 级，应用率为 20%，综合得分为 0.8 分（4*0.2）</w:t>
            </w:r>
          </w:p>
        </w:tc>
      </w:tr>
      <w:tr>
        <w:trPr>
          <w:trHeight w:val="320" w:hRule="atLeast"/>
        </w:trPr>
        <w:tc>
          <w:tcPr>
            <w:tcW w:w="768" w:type="dxa"/>
          </w:tcPr>
          <w:p>
            <w:pPr>
              <w:pStyle w:val="TableParagraph"/>
              <w:spacing w:line="276" w:lineRule="exact" w:before="24"/>
              <w:ind w:left="199" w:right="193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1-2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5" w:type="dxa"/>
          </w:tcPr>
          <w:p>
            <w:pPr>
              <w:pStyle w:val="TableParagraph"/>
              <w:spacing w:line="276" w:lineRule="exact" w:before="24"/>
              <w:ind w:left="108"/>
              <w:rPr>
                <w:sz w:val="20"/>
              </w:rPr>
            </w:pPr>
            <w:r>
              <w:rPr>
                <w:sz w:val="20"/>
              </w:rPr>
              <w:t>利用电子化表格开展风险评估。信息系统功能 1 级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76" w:lineRule="exact" w:before="24"/>
              <w:ind w:left="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5" w:hRule="atLeast"/>
        </w:trPr>
        <w:tc>
          <w:tcPr>
            <w:tcW w:w="768" w:type="dxa"/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199" w:right="193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1-3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5" w:type="dxa"/>
          </w:tcPr>
          <w:p>
            <w:pPr>
              <w:pStyle w:val="TableParagraph"/>
              <w:spacing w:before="21"/>
              <w:ind w:left="108"/>
              <w:rPr>
                <w:sz w:val="20"/>
              </w:rPr>
            </w:pPr>
            <w:r>
              <w:rPr>
                <w:sz w:val="20"/>
              </w:rPr>
              <w:t>电子风险评估表格嵌入任意一个信息系统，并实现设</w:t>
            </w:r>
          </w:p>
          <w:p>
            <w:pPr>
              <w:pStyle w:val="TableParagraph"/>
              <w:spacing w:line="310" w:lineRule="atLeast" w:before="2"/>
              <w:ind w:left="108" w:right="21"/>
              <w:rPr>
                <w:sz w:val="20"/>
              </w:rPr>
            </w:pPr>
            <w:r>
              <w:rPr>
                <w:w w:val="95"/>
                <w:sz w:val="20"/>
              </w:rPr>
              <w:t>定规则（如时间、科室、诊断、医嘱）的评估流程控 </w:t>
            </w:r>
            <w:r>
              <w:rPr>
                <w:sz w:val="20"/>
              </w:rPr>
              <w:t>制（如预警、设卡）。信息系统功能 2 级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6" w:hRule="atLeast"/>
        </w:trPr>
        <w:tc>
          <w:tcPr>
            <w:tcW w:w="768" w:type="dxa"/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99" w:right="193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1-4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5" w:type="dxa"/>
          </w:tcPr>
          <w:p>
            <w:pPr>
              <w:pStyle w:val="TableParagraph"/>
              <w:spacing w:line="268" w:lineRule="auto" w:before="20"/>
              <w:ind w:left="108" w:right="46"/>
              <w:rPr>
                <w:sz w:val="20"/>
              </w:rPr>
            </w:pPr>
            <w:r>
              <w:rPr>
                <w:w w:val="95"/>
                <w:sz w:val="20"/>
              </w:rPr>
              <w:t>规范统一的电子风险评估表（或者评估元素数据库） </w:t>
            </w:r>
            <w:r>
              <w:rPr>
                <w:spacing w:val="-6"/>
                <w:sz w:val="20"/>
              </w:rPr>
              <w:t>多系统、多角色统一调取，评估，跨角色，跨系统共</w:t>
            </w:r>
          </w:p>
          <w:p>
            <w:pPr>
              <w:pStyle w:val="TableParagraph"/>
              <w:spacing w:line="269" w:lineRule="exact"/>
              <w:ind w:left="108"/>
              <w:rPr>
                <w:sz w:val="20"/>
              </w:rPr>
            </w:pPr>
            <w:r>
              <w:rPr>
                <w:sz w:val="20"/>
              </w:rPr>
              <w:t>享。信息系统功能 3 级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6" w:hRule="atLeast"/>
        </w:trPr>
        <w:tc>
          <w:tcPr>
            <w:tcW w:w="768" w:type="dxa"/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99" w:right="193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1-5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5" w:type="dxa"/>
          </w:tcPr>
          <w:p>
            <w:pPr>
              <w:pStyle w:val="TableParagraph"/>
              <w:spacing w:line="268" w:lineRule="auto" w:before="20"/>
              <w:ind w:left="108" w:right="96"/>
              <w:rPr>
                <w:sz w:val="20"/>
              </w:rPr>
            </w:pPr>
            <w:r>
              <w:rPr>
                <w:sz w:val="20"/>
              </w:rPr>
              <w:t>建立 VTE 风险评估知识规则数据库系统，并能及时</w:t>
            </w:r>
            <w:r>
              <w:rPr>
                <w:w w:val="95"/>
                <w:sz w:val="20"/>
              </w:rPr>
              <w:t>获取患者动态数据变化，并根据变化动态的提示、预</w:t>
            </w:r>
          </w:p>
          <w:p>
            <w:pPr>
              <w:pStyle w:val="TableParagraph"/>
              <w:spacing w:line="269" w:lineRule="exact"/>
              <w:ind w:left="108"/>
              <w:rPr>
                <w:sz w:val="20"/>
              </w:rPr>
            </w:pPr>
            <w:r>
              <w:rPr>
                <w:sz w:val="20"/>
              </w:rPr>
              <w:t>警和管控风险评估。信息系统功能 4 级。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6" w:hRule="atLeast"/>
        </w:trPr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99" w:right="193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1-6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5" w:type="dxa"/>
          </w:tcPr>
          <w:p>
            <w:pPr>
              <w:pStyle w:val="TableParagraph"/>
              <w:spacing w:before="22"/>
              <w:ind w:left="108"/>
              <w:rPr>
                <w:sz w:val="20"/>
              </w:rPr>
            </w:pPr>
            <w:r>
              <w:rPr>
                <w:sz w:val="20"/>
              </w:rPr>
              <w:t>住院患者 VTE 风险评估信息可以在住院/门诊，医院/</w:t>
            </w:r>
          </w:p>
          <w:p>
            <w:pPr>
              <w:pStyle w:val="TableParagraph"/>
              <w:spacing w:line="310" w:lineRule="atLeast" w:before="2"/>
              <w:ind w:left="108" w:right="171"/>
              <w:rPr>
                <w:sz w:val="20"/>
              </w:rPr>
            </w:pPr>
            <w:r>
              <w:rPr>
                <w:sz w:val="20"/>
              </w:rPr>
              <w:t>家庭，医院/其他机构之间互通，实现医院-社区-家</w:t>
            </w:r>
            <w:r>
              <w:rPr>
                <w:w w:val="105"/>
                <w:sz w:val="20"/>
              </w:rPr>
              <w:t>庭</w:t>
            </w:r>
            <w:r>
              <w:rPr>
                <w:w w:val="155"/>
                <w:sz w:val="20"/>
              </w:rPr>
              <w:t>-</w:t>
            </w:r>
            <w:r>
              <w:rPr>
                <w:w w:val="105"/>
                <w:sz w:val="20"/>
              </w:rPr>
              <w:t>个人的信息共享。信息系统功能 5 级。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768" w:type="dxa"/>
          </w:tcPr>
          <w:p>
            <w:pPr>
              <w:pStyle w:val="TableParagraph"/>
              <w:spacing w:line="276" w:lineRule="exact" w:before="24"/>
              <w:ind w:left="199" w:right="193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2-1</w:t>
            </w:r>
          </w:p>
        </w:tc>
        <w:tc>
          <w:tcPr>
            <w:tcW w:w="78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68" w:lineRule="auto"/>
              <w:ind w:left="191" w:right="185"/>
              <w:rPr>
                <w:sz w:val="20"/>
              </w:rPr>
            </w:pPr>
            <w:r>
              <w:rPr>
                <w:sz w:val="20"/>
              </w:rPr>
              <w:t>预防处置</w:t>
            </w:r>
          </w:p>
        </w:tc>
        <w:tc>
          <w:tcPr>
            <w:tcW w:w="331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09" w:val="left" w:leader="none"/>
              </w:tabs>
              <w:spacing w:line="268" w:lineRule="auto" w:before="0" w:after="0"/>
              <w:ind w:left="107" w:right="98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具备预防性抗凝药物与间歇充气</w:t>
            </w:r>
            <w:r>
              <w:rPr>
                <w:sz w:val="20"/>
              </w:rPr>
              <w:t>加压泵、分级加压弹力袜和足底静脉泵等机械预防设施。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09" w:val="left" w:leader="none"/>
              </w:tabs>
              <w:spacing w:line="268" w:lineRule="auto" w:before="0" w:after="0"/>
              <w:ind w:left="107" w:right="95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根据诊疗指南推荐意见，实施适</w:t>
            </w:r>
            <w:r>
              <w:rPr>
                <w:sz w:val="20"/>
              </w:rPr>
              <w:t>合的药物预防和机械预防措施。</w:t>
            </w:r>
          </w:p>
        </w:tc>
        <w:tc>
          <w:tcPr>
            <w:tcW w:w="4765" w:type="dxa"/>
          </w:tcPr>
          <w:p>
            <w:pPr>
              <w:pStyle w:val="TableParagraph"/>
              <w:spacing w:line="276" w:lineRule="exact" w:before="24"/>
              <w:ind w:left="108"/>
              <w:rPr>
                <w:sz w:val="20"/>
              </w:rPr>
            </w:pPr>
            <w:r>
              <w:rPr>
                <w:sz w:val="20"/>
              </w:rPr>
              <w:t>利用纸质医嘱开立预防处方。信息系统功能 0 级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68" w:lineRule="auto"/>
              <w:ind w:left="107" w:right="130"/>
              <w:rPr>
                <w:sz w:val="20"/>
              </w:rPr>
            </w:pPr>
            <w:r>
              <w:rPr>
                <w:sz w:val="20"/>
              </w:rPr>
              <w:t>预防范围/预防时机/预防措施/ 预防告知等(实际应用范围与数量/规范要求的数量=应用比率)</w:t>
            </w:r>
          </w:p>
        </w:tc>
        <w:tc>
          <w:tcPr>
            <w:tcW w:w="708" w:type="dxa"/>
          </w:tcPr>
          <w:p>
            <w:pPr>
              <w:pStyle w:val="TableParagraph"/>
              <w:spacing w:line="276" w:lineRule="exact" w:before="24"/>
              <w:ind w:left="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68" w:lineRule="auto"/>
              <w:ind w:left="121" w:right="110" w:hanging="1"/>
              <w:jc w:val="center"/>
              <w:rPr>
                <w:sz w:val="20"/>
              </w:rPr>
            </w:pPr>
            <w:r>
              <w:rPr>
                <w:sz w:val="20"/>
              </w:rPr>
              <w:t>应用比率（实际使用数量/规范要求数量）例如： 进行预防处置的患者数量/按临床规范需要采取预防措施的人数= 预防实施率。</w:t>
            </w:r>
          </w:p>
        </w:tc>
        <w:tc>
          <w:tcPr>
            <w:tcW w:w="178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68" w:lineRule="auto"/>
              <w:ind w:left="107" w:right="68"/>
              <w:jc w:val="both"/>
              <w:rPr>
                <w:sz w:val="20"/>
              </w:rPr>
            </w:pPr>
            <w:r>
              <w:rPr>
                <w:sz w:val="20"/>
              </w:rPr>
              <w:t>功能评分*应用比率。例如：系统功能为 4 级，应用率为 20%，综合得分为 0.8 分（4*0.2）</w:t>
            </w:r>
          </w:p>
        </w:tc>
      </w:tr>
      <w:tr>
        <w:trPr>
          <w:trHeight w:val="320" w:hRule="atLeast"/>
        </w:trPr>
        <w:tc>
          <w:tcPr>
            <w:tcW w:w="768" w:type="dxa"/>
          </w:tcPr>
          <w:p>
            <w:pPr>
              <w:pStyle w:val="TableParagraph"/>
              <w:spacing w:line="275" w:lineRule="exact" w:before="25"/>
              <w:ind w:left="199" w:right="193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2-2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5" w:type="dxa"/>
          </w:tcPr>
          <w:p>
            <w:pPr>
              <w:pStyle w:val="TableParagraph"/>
              <w:spacing w:line="275" w:lineRule="exact" w:before="25"/>
              <w:ind w:left="108"/>
              <w:rPr>
                <w:sz w:val="20"/>
              </w:rPr>
            </w:pPr>
            <w:r>
              <w:rPr>
                <w:sz w:val="20"/>
              </w:rPr>
              <w:t>利用电子化医嘱开立预防处方。信息系统功能 1 级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75" w:lineRule="exact" w:before="25"/>
              <w:ind w:left="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5" w:hRule="atLeast"/>
        </w:trPr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99" w:right="193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2-3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5" w:type="dxa"/>
          </w:tcPr>
          <w:p>
            <w:pPr>
              <w:pStyle w:val="TableParagraph"/>
              <w:spacing w:line="268" w:lineRule="auto" w:before="21"/>
              <w:ind w:left="108" w:right="22"/>
              <w:rPr>
                <w:sz w:val="20"/>
              </w:rPr>
            </w:pPr>
            <w:r>
              <w:rPr>
                <w:sz w:val="20"/>
              </w:rPr>
              <w:t>VTE 预防电子化医嘱嵌入任意一个系统流程，并实现</w:t>
            </w:r>
            <w:r>
              <w:rPr>
                <w:w w:val="95"/>
                <w:sz w:val="20"/>
              </w:rPr>
              <w:t>与评估结果的交互和流程控制（如预警、设卡）。信</w:t>
            </w:r>
          </w:p>
          <w:p>
            <w:pPr>
              <w:pStyle w:val="TableParagraph"/>
              <w:spacing w:line="268" w:lineRule="exact"/>
              <w:ind w:left="108"/>
              <w:rPr>
                <w:sz w:val="20"/>
              </w:rPr>
            </w:pPr>
            <w:r>
              <w:rPr>
                <w:sz w:val="20"/>
              </w:rPr>
              <w:t>息系统功能 2 级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6" w:hRule="atLeast"/>
        </w:trPr>
        <w:tc>
          <w:tcPr>
            <w:tcW w:w="768" w:type="dxa"/>
          </w:tcPr>
          <w:p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99" w:right="193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2-4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5" w:type="dxa"/>
          </w:tcPr>
          <w:p>
            <w:pPr>
              <w:pStyle w:val="TableParagraph"/>
              <w:spacing w:before="21"/>
              <w:ind w:left="108"/>
              <w:rPr>
                <w:sz w:val="20"/>
              </w:rPr>
            </w:pPr>
            <w:r>
              <w:rPr>
                <w:sz w:val="20"/>
              </w:rPr>
              <w:t>规范统一的 VTE 预防医嘱术语（或者预防路径）多</w:t>
            </w:r>
          </w:p>
          <w:p>
            <w:pPr>
              <w:pStyle w:val="TableParagraph"/>
              <w:spacing w:line="310" w:lineRule="atLeast" w:before="2"/>
              <w:ind w:left="108" w:right="46"/>
              <w:rPr>
                <w:sz w:val="20"/>
              </w:rPr>
            </w:pPr>
            <w:r>
              <w:rPr>
                <w:w w:val="95"/>
                <w:sz w:val="20"/>
              </w:rPr>
              <w:t>系统、多角色统一调取，预防临床路径跨系统共享。 </w:t>
            </w:r>
            <w:r>
              <w:rPr>
                <w:spacing w:val="-1"/>
                <w:sz w:val="20"/>
              </w:rPr>
              <w:t>信息系统功能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级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4" w:hRule="atLeast"/>
        </w:trPr>
        <w:tc>
          <w:tcPr>
            <w:tcW w:w="768" w:type="dxa"/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199" w:right="193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2-5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5" w:type="dxa"/>
          </w:tcPr>
          <w:p>
            <w:pPr>
              <w:pStyle w:val="TableParagraph"/>
              <w:spacing w:line="268" w:lineRule="auto" w:before="21"/>
              <w:ind w:left="108" w:right="96"/>
              <w:rPr>
                <w:sz w:val="20"/>
              </w:rPr>
            </w:pPr>
            <w:r>
              <w:rPr>
                <w:sz w:val="20"/>
              </w:rPr>
              <w:t>建立 VTE 预防识别与控制知识规则数据库系统，并</w:t>
            </w:r>
            <w:r>
              <w:rPr>
                <w:w w:val="95"/>
                <w:sz w:val="20"/>
              </w:rPr>
              <w:t>能及时获取患者动态数据变化，并根据变化动态的提</w:t>
            </w:r>
          </w:p>
          <w:p>
            <w:pPr>
              <w:pStyle w:val="TableParagraph"/>
              <w:spacing w:line="267" w:lineRule="exact"/>
              <w:ind w:left="108"/>
              <w:rPr>
                <w:sz w:val="20"/>
              </w:rPr>
            </w:pPr>
            <w:r>
              <w:rPr>
                <w:sz w:val="20"/>
              </w:rPr>
              <w:t>示、预警和管控预防处置事件。信息系统功能 4 级。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720" w:bottom="280" w:left="500" w:right="7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"/>
        <w:gridCol w:w="787"/>
        <w:gridCol w:w="3314"/>
        <w:gridCol w:w="4765"/>
        <w:gridCol w:w="1560"/>
        <w:gridCol w:w="708"/>
        <w:gridCol w:w="1701"/>
        <w:gridCol w:w="1787"/>
      </w:tblGrid>
      <w:tr>
        <w:trPr>
          <w:trHeight w:val="936" w:hRule="atLeast"/>
        </w:trPr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99" w:right="193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2-6</w:t>
            </w:r>
          </w:p>
        </w:tc>
        <w:tc>
          <w:tcPr>
            <w:tcW w:w="7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5" w:type="dxa"/>
          </w:tcPr>
          <w:p>
            <w:pPr>
              <w:pStyle w:val="TableParagraph"/>
              <w:spacing w:line="268" w:lineRule="auto" w:before="21"/>
              <w:ind w:left="108" w:right="44"/>
              <w:rPr>
                <w:sz w:val="20"/>
              </w:rPr>
            </w:pPr>
            <w:r>
              <w:rPr>
                <w:sz w:val="20"/>
              </w:rPr>
              <w:t>住院患者 VTE 预防处置信息可以在住院/门诊，医院/ 家庭，医院/其他机构之间互通，实现医院-社区-家</w:t>
            </w:r>
          </w:p>
          <w:p>
            <w:pPr>
              <w:pStyle w:val="TableParagraph"/>
              <w:spacing w:line="268" w:lineRule="exact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庭</w:t>
            </w:r>
            <w:r>
              <w:rPr>
                <w:w w:val="155"/>
                <w:sz w:val="20"/>
              </w:rPr>
              <w:t>-</w:t>
            </w:r>
            <w:r>
              <w:rPr>
                <w:w w:val="105"/>
                <w:sz w:val="20"/>
              </w:rPr>
              <w:t>个人的信息共享。信息系统功能 5 级。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768" w:type="dxa"/>
          </w:tcPr>
          <w:p>
            <w:pPr>
              <w:pStyle w:val="TableParagraph"/>
              <w:spacing w:line="274" w:lineRule="exact" w:before="26"/>
              <w:ind w:left="199" w:right="193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3-1</w:t>
            </w:r>
          </w:p>
        </w:tc>
        <w:tc>
          <w:tcPr>
            <w:tcW w:w="78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VTE</w:t>
            </w:r>
          </w:p>
          <w:p>
            <w:pPr>
              <w:pStyle w:val="TableParagraph"/>
              <w:spacing w:before="32"/>
              <w:ind w:left="191"/>
              <w:rPr>
                <w:sz w:val="20"/>
              </w:rPr>
            </w:pPr>
            <w:r>
              <w:rPr>
                <w:w w:val="95"/>
                <w:sz w:val="20"/>
              </w:rPr>
              <w:t>诊断</w:t>
            </w:r>
          </w:p>
        </w:tc>
        <w:tc>
          <w:tcPr>
            <w:tcW w:w="331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8" w:lineRule="auto" w:before="139"/>
              <w:ind w:left="107" w:right="-15"/>
              <w:rPr>
                <w:sz w:val="20"/>
              </w:rPr>
            </w:pPr>
            <w:r>
              <w:rPr>
                <w:sz w:val="20"/>
              </w:rPr>
              <w:t>1）</w:t>
            </w:r>
            <w:r>
              <w:rPr>
                <w:spacing w:val="3"/>
                <w:sz w:val="20"/>
              </w:rPr>
              <w:t>医院应根据指南意见，规范 </w:t>
            </w:r>
            <w:r>
              <w:rPr>
                <w:sz w:val="20"/>
              </w:rPr>
              <w:t>PE </w:t>
            </w:r>
            <w:r>
              <w:rPr>
                <w:spacing w:val="-2"/>
                <w:sz w:val="20"/>
              </w:rPr>
              <w:t>和 </w:t>
            </w:r>
            <w:r>
              <w:rPr>
                <w:sz w:val="20"/>
              </w:rPr>
              <w:t>DVT</w:t>
            </w:r>
            <w:r>
              <w:rPr>
                <w:spacing w:val="-2"/>
                <w:sz w:val="20"/>
              </w:rPr>
              <w:t> 的临床评估和诊断流程。2）VTE</w:t>
            </w:r>
            <w:r>
              <w:rPr>
                <w:spacing w:val="-3"/>
                <w:sz w:val="20"/>
              </w:rPr>
              <w:t> 疾病诊治相关科室</w:t>
            </w:r>
            <w:r>
              <w:rPr>
                <w:sz w:val="20"/>
              </w:rPr>
              <w:t>（呼吸与危重症医学科、心血管内科、血液 科、血管外科、急诊医学科等）： 医务人员应熟练掌握 PE</w:t>
            </w:r>
            <w:r>
              <w:rPr>
                <w:spacing w:val="-1"/>
                <w:sz w:val="20"/>
              </w:rPr>
              <w:t> 和 </w:t>
            </w:r>
            <w:r>
              <w:rPr>
                <w:sz w:val="20"/>
              </w:rPr>
              <w:t>DVT 的临床评估和诊断流程，如果遇到 PE </w:t>
            </w:r>
            <w:r>
              <w:rPr>
                <w:spacing w:val="-5"/>
                <w:sz w:val="20"/>
              </w:rPr>
              <w:t>和 </w:t>
            </w:r>
            <w:r>
              <w:rPr>
                <w:sz w:val="20"/>
              </w:rPr>
              <w:t>DVT</w:t>
            </w:r>
            <w:r>
              <w:rPr>
                <w:spacing w:val="-10"/>
                <w:sz w:val="20"/>
              </w:rPr>
              <w:t> 疑似患者，可迅速作出判断， 并进入正确的处理流程。</w:t>
            </w:r>
          </w:p>
          <w:p>
            <w:pPr>
              <w:pStyle w:val="TableParagraph"/>
              <w:spacing w:line="268" w:lineRule="auto"/>
              <w:ind w:left="107" w:right="81"/>
              <w:rPr>
                <w:sz w:val="20"/>
              </w:rPr>
            </w:pPr>
            <w:r>
              <w:rPr>
                <w:sz w:val="20"/>
              </w:rPr>
              <w:t>3）VTE 高危科室（骨科、普外科、肿瘤科、妇产科等）：医务人员应熟悉 PE 和 DVT 的临床评估和诊断流程，如果遇到 PE 和 DVT 疑似患者，可早期识别并及时请相关专业科室会诊。</w:t>
            </w:r>
          </w:p>
        </w:tc>
        <w:tc>
          <w:tcPr>
            <w:tcW w:w="4765" w:type="dxa"/>
          </w:tcPr>
          <w:p>
            <w:pPr>
              <w:pStyle w:val="TableParagraph"/>
              <w:spacing w:line="274" w:lineRule="exact" w:before="26"/>
              <w:ind w:left="108"/>
              <w:rPr>
                <w:sz w:val="20"/>
              </w:rPr>
            </w:pPr>
            <w:r>
              <w:rPr>
                <w:sz w:val="20"/>
              </w:rPr>
              <w:t>无信息化诊断系统。信息系统功能 0 级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8" w:lineRule="auto" w:before="139"/>
              <w:ind w:left="107" w:right="96"/>
              <w:rPr>
                <w:sz w:val="20"/>
              </w:rPr>
            </w:pPr>
            <w:r>
              <w:rPr>
                <w:sz w:val="20"/>
              </w:rPr>
              <w:t>规范诊断/标准术语/风险分层/ 会诊协作/信息共享等(考核诊断的规范与数据记录的标准</w:t>
            </w:r>
            <w:r>
              <w:rPr>
                <w:spacing w:val="-11"/>
                <w:sz w:val="20"/>
              </w:rPr>
              <w:t>化与质量，评价</w:t>
            </w:r>
            <w:r>
              <w:rPr>
                <w:sz w:val="20"/>
              </w:rPr>
              <w:t>信息系统和临床标准中规范</w:t>
            </w:r>
            <w:r>
              <w:rPr>
                <w:spacing w:val="-11"/>
                <w:sz w:val="20"/>
              </w:rPr>
              <w:t>数据、规范指南的应用比例。实</w:t>
            </w:r>
            <w:r>
              <w:rPr>
                <w:sz w:val="20"/>
              </w:rPr>
              <w:t>际应用范围与数量/规范要求的数量=应用比率)</w:t>
            </w:r>
          </w:p>
        </w:tc>
        <w:tc>
          <w:tcPr>
            <w:tcW w:w="708" w:type="dxa"/>
          </w:tcPr>
          <w:p>
            <w:pPr>
              <w:pStyle w:val="TableParagraph"/>
              <w:spacing w:line="274" w:lineRule="exact" w:before="26"/>
              <w:ind w:left="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应用规范与质量</w:t>
            </w:r>
          </w:p>
          <w:p>
            <w:pPr>
              <w:pStyle w:val="TableParagraph"/>
              <w:spacing w:line="268" w:lineRule="auto" w:before="32"/>
              <w:ind w:left="121" w:right="110"/>
              <w:jc w:val="center"/>
              <w:rPr>
                <w:sz w:val="20"/>
              </w:rPr>
            </w:pPr>
            <w:r>
              <w:rPr>
                <w:sz w:val="20"/>
              </w:rPr>
              <w:t>（实际使用数量/ 规范要求数量） 例如：进行规范检查数量/全部进行检查的人数= 诊断规范率。</w:t>
            </w:r>
          </w:p>
        </w:tc>
        <w:tc>
          <w:tcPr>
            <w:tcW w:w="178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68" w:lineRule="auto" w:before="1"/>
              <w:ind w:left="107" w:right="68"/>
              <w:jc w:val="both"/>
              <w:rPr>
                <w:sz w:val="20"/>
              </w:rPr>
            </w:pPr>
            <w:r>
              <w:rPr>
                <w:sz w:val="20"/>
              </w:rPr>
              <w:t>功能评分*应用比率。例如：系统功能为 4 级，应用率为 20%，综合得分为 0.8 分（4*0.2）</w:t>
            </w:r>
          </w:p>
        </w:tc>
      </w:tr>
      <w:tr>
        <w:trPr>
          <w:trHeight w:val="639" w:hRule="atLeast"/>
        </w:trPr>
        <w:tc>
          <w:tcPr>
            <w:tcW w:w="768" w:type="dxa"/>
          </w:tcPr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99" w:right="193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3-2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5" w:type="dxa"/>
          </w:tcPr>
          <w:p>
            <w:pPr>
              <w:pStyle w:val="TableParagraph"/>
              <w:spacing w:before="29"/>
              <w:ind w:left="108"/>
              <w:rPr>
                <w:sz w:val="20"/>
              </w:rPr>
            </w:pPr>
            <w:r>
              <w:rPr>
                <w:sz w:val="20"/>
              </w:rPr>
              <w:t>有电子化诊断评估表格、鉴别诊断、检查检验、确诊</w:t>
            </w:r>
          </w:p>
          <w:p>
            <w:pPr>
              <w:pStyle w:val="TableParagraph"/>
              <w:spacing w:line="278" w:lineRule="exact" w:before="33"/>
              <w:ind w:left="108"/>
              <w:rPr>
                <w:sz w:val="20"/>
              </w:rPr>
            </w:pPr>
            <w:r>
              <w:rPr>
                <w:sz w:val="20"/>
              </w:rPr>
              <w:t>等电子化路径。信息系统功能 1 级。（电子化）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8" w:hRule="atLeast"/>
        </w:trPr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99" w:right="193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3-3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5" w:type="dxa"/>
          </w:tcPr>
          <w:p>
            <w:pPr>
              <w:pStyle w:val="TableParagraph"/>
              <w:spacing w:line="268" w:lineRule="auto" w:before="20"/>
              <w:ind w:left="108" w:right="96"/>
              <w:jc w:val="both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诊断流程嵌入任意一个或多个信息系统，并实现设定 </w:t>
            </w:r>
            <w:r>
              <w:rPr>
                <w:spacing w:val="-8"/>
                <w:w w:val="95"/>
                <w:sz w:val="20"/>
              </w:rPr>
              <w:t>规则的疑诊、确诊、求因和危险分层的系统控制</w:t>
            </w:r>
            <w:r>
              <w:rPr>
                <w:w w:val="95"/>
                <w:sz w:val="20"/>
              </w:rPr>
              <w:t>（如 </w:t>
            </w:r>
            <w:r>
              <w:rPr>
                <w:spacing w:val="-3"/>
                <w:sz w:val="20"/>
              </w:rPr>
              <w:t>危急值预警、会诊提醒、设卡</w:t>
            </w:r>
            <w:r>
              <w:rPr>
                <w:spacing w:val="-12"/>
                <w:sz w:val="20"/>
              </w:rPr>
              <w:t>）</w:t>
            </w:r>
            <w:r>
              <w:rPr>
                <w:spacing w:val="-4"/>
                <w:sz w:val="20"/>
              </w:rPr>
              <w:t>。信息系统功能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级</w:t>
            </w:r>
          </w:p>
          <w:p>
            <w:pPr>
              <w:pStyle w:val="TableParagraph"/>
              <w:spacing w:line="268" w:lineRule="exact"/>
              <w:ind w:left="108"/>
              <w:rPr>
                <w:sz w:val="20"/>
              </w:rPr>
            </w:pPr>
            <w:r>
              <w:rPr>
                <w:sz w:val="20"/>
              </w:rPr>
              <w:t>（自动化）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7" w:hRule="atLeast"/>
        </w:trPr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99" w:right="193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3-4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5" w:type="dxa"/>
          </w:tcPr>
          <w:p>
            <w:pPr>
              <w:pStyle w:val="TableParagraph"/>
              <w:spacing w:line="268" w:lineRule="auto" w:before="20"/>
              <w:ind w:left="108" w:right="4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规范统一的诊断术语、病因学术语、检验检查类型， </w:t>
            </w:r>
            <w:r>
              <w:rPr>
                <w:spacing w:val="-3"/>
                <w:sz w:val="20"/>
              </w:rPr>
              <w:t>风险分层评估表</w:t>
            </w:r>
            <w:r>
              <w:rPr>
                <w:sz w:val="20"/>
              </w:rPr>
              <w:t>（或者评估元素数据库</w:t>
            </w:r>
            <w:r>
              <w:rPr>
                <w:spacing w:val="-15"/>
                <w:sz w:val="20"/>
              </w:rPr>
              <w:t>）</w:t>
            </w:r>
            <w:r>
              <w:rPr>
                <w:spacing w:val="-4"/>
                <w:sz w:val="20"/>
              </w:rPr>
              <w:t>等，实现多</w:t>
            </w:r>
            <w:r>
              <w:rPr>
                <w:spacing w:val="-8"/>
                <w:sz w:val="20"/>
              </w:rPr>
              <w:t>系统、多角色统一调取，跨角色，跨系统共享。信息</w:t>
            </w:r>
          </w:p>
          <w:p>
            <w:pPr>
              <w:pStyle w:val="TableParagraph"/>
              <w:spacing w:line="268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系统功能 3 级（规范化）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6" w:hRule="atLeast"/>
        </w:trPr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99" w:right="193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3-5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5" w:type="dxa"/>
          </w:tcPr>
          <w:p>
            <w:pPr>
              <w:pStyle w:val="TableParagraph"/>
              <w:spacing w:line="268" w:lineRule="auto" w:before="22"/>
              <w:ind w:left="108" w:right="96"/>
              <w:rPr>
                <w:sz w:val="20"/>
              </w:rPr>
            </w:pPr>
            <w:r>
              <w:rPr>
                <w:sz w:val="20"/>
              </w:rPr>
              <w:t>建立 VTE 诊断知识规则数据库系统，并能及时获取</w:t>
            </w:r>
            <w:r>
              <w:rPr>
                <w:w w:val="95"/>
                <w:sz w:val="20"/>
              </w:rPr>
              <w:t>患者动态数据变化，并根据变化动态的提示、预警和</w:t>
            </w:r>
          </w:p>
          <w:p>
            <w:pPr>
              <w:pStyle w:val="TableParagraph"/>
              <w:spacing w:line="267" w:lineRule="exact"/>
              <w:ind w:left="108"/>
              <w:rPr>
                <w:sz w:val="20"/>
              </w:rPr>
            </w:pPr>
            <w:r>
              <w:rPr>
                <w:sz w:val="20"/>
              </w:rPr>
              <w:t>辅助诊断决策。信息系统功能 4 级。（智能化）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6" w:hRule="atLeast"/>
        </w:trPr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99" w:right="193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3-6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5" w:type="dxa"/>
          </w:tcPr>
          <w:p>
            <w:pPr>
              <w:pStyle w:val="TableParagraph"/>
              <w:spacing w:line="268" w:lineRule="auto" w:before="21"/>
              <w:ind w:left="108" w:right="44"/>
              <w:rPr>
                <w:sz w:val="20"/>
              </w:rPr>
            </w:pPr>
            <w:r>
              <w:rPr>
                <w:sz w:val="20"/>
              </w:rPr>
              <w:t>疑诊、确诊等 VTE 患者信息可以在住院/门诊，医院/ 家庭，医院/其他机构之间互通，实现医院-社区-家</w:t>
            </w:r>
          </w:p>
          <w:p>
            <w:pPr>
              <w:pStyle w:val="TableParagraph"/>
              <w:spacing w:line="268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庭-个人的信息共享并突出显示。信息系统功能 </w:t>
            </w:r>
            <w:r>
              <w:rPr>
                <w:sz w:val="20"/>
              </w:rPr>
              <w:t>5 级。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768" w:type="dxa"/>
          </w:tcPr>
          <w:p>
            <w:pPr>
              <w:pStyle w:val="TableParagraph"/>
              <w:spacing w:line="274" w:lineRule="exact" w:before="26"/>
              <w:ind w:left="199" w:right="193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4-1</w:t>
            </w:r>
          </w:p>
        </w:tc>
        <w:tc>
          <w:tcPr>
            <w:tcW w:w="78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8" w:lineRule="auto" w:before="151"/>
              <w:ind w:left="191" w:right="185"/>
              <w:rPr>
                <w:sz w:val="20"/>
              </w:rPr>
            </w:pPr>
            <w:r>
              <w:rPr>
                <w:sz w:val="20"/>
              </w:rPr>
              <w:t>规范治疗</w:t>
            </w:r>
          </w:p>
        </w:tc>
        <w:tc>
          <w:tcPr>
            <w:tcW w:w="3314" w:type="dxa"/>
            <w:vMerge w:val="restart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09" w:val="left" w:leader="none"/>
              </w:tabs>
              <w:spacing w:line="268" w:lineRule="auto" w:before="45" w:after="0"/>
              <w:ind w:left="107" w:right="95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医院内 </w:t>
            </w:r>
            <w:r>
              <w:rPr>
                <w:sz w:val="20"/>
              </w:rPr>
              <w:t>VTE</w:t>
            </w:r>
            <w:r>
              <w:rPr>
                <w:spacing w:val="-1"/>
                <w:sz w:val="20"/>
              </w:rPr>
              <w:t> 快速反应团队成员</w:t>
            </w:r>
            <w:r>
              <w:rPr>
                <w:spacing w:val="-5"/>
                <w:sz w:val="20"/>
              </w:rPr>
              <w:t>以及 </w:t>
            </w:r>
            <w:r>
              <w:rPr>
                <w:sz w:val="20"/>
              </w:rPr>
              <w:t>PE</w:t>
            </w:r>
            <w:r>
              <w:rPr>
                <w:spacing w:val="-2"/>
                <w:sz w:val="20"/>
              </w:rPr>
              <w:t> 和 </w:t>
            </w:r>
            <w:r>
              <w:rPr>
                <w:sz w:val="20"/>
              </w:rPr>
              <w:t>DVT</w:t>
            </w:r>
            <w:r>
              <w:rPr>
                <w:spacing w:val="-1"/>
                <w:sz w:val="20"/>
              </w:rPr>
              <w:t> 相关专业科室医务人员应熟练掌握抗凝与溶栓治疗的适应证、禁忌证与具体使用方法， 根据指南推荐意见，规范使用抗凝与溶栓药物。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9" w:val="left" w:leader="none"/>
              </w:tabs>
              <w:spacing w:line="268" w:lineRule="auto" w:before="0" w:after="0"/>
              <w:ind w:left="107" w:right="-15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医院内 </w:t>
            </w:r>
            <w:r>
              <w:rPr>
                <w:sz w:val="20"/>
              </w:rPr>
              <w:t>VTE</w:t>
            </w:r>
            <w:r>
              <w:rPr>
                <w:spacing w:val="-1"/>
                <w:sz w:val="20"/>
              </w:rPr>
              <w:t> 高危科室医务人员应熟悉抗凝与溶栓治疗的适应证、禁 忌证与具体使用方法，根据指南推 荐意见，在相关专业科室医务人员 </w:t>
            </w:r>
            <w:r>
              <w:rPr>
                <w:spacing w:val="-2"/>
                <w:sz w:val="20"/>
              </w:rPr>
              <w:t>指导下，规范使用抗凝与溶栓药物。3）在具备专业技术和设备的前提</w:t>
            </w:r>
          </w:p>
          <w:p>
            <w:pPr>
              <w:pStyle w:val="TableParagraph"/>
              <w:spacing w:line="272" w:lineRule="exact"/>
              <w:ind w:left="107"/>
              <w:rPr>
                <w:sz w:val="20"/>
              </w:rPr>
            </w:pPr>
            <w:r>
              <w:rPr>
                <w:sz w:val="20"/>
              </w:rPr>
              <w:t>下，医院能够开展 PE 和 DVT 的介</w:t>
            </w:r>
          </w:p>
        </w:tc>
        <w:tc>
          <w:tcPr>
            <w:tcW w:w="4765" w:type="dxa"/>
          </w:tcPr>
          <w:p>
            <w:pPr>
              <w:pStyle w:val="TableParagraph"/>
              <w:spacing w:line="274" w:lineRule="exact" w:before="26"/>
              <w:ind w:left="108"/>
              <w:rPr>
                <w:sz w:val="20"/>
              </w:rPr>
            </w:pPr>
            <w:r>
              <w:rPr>
                <w:sz w:val="20"/>
              </w:rPr>
              <w:t>无信息化诊断系统。信息系统功能 0 级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line="310" w:lineRule="atLeast" w:before="15"/>
              <w:ind w:left="107" w:right="96"/>
              <w:rPr>
                <w:sz w:val="20"/>
              </w:rPr>
            </w:pPr>
            <w:r>
              <w:rPr>
                <w:sz w:val="20"/>
              </w:rPr>
              <w:t>规范治疗/规范记录/患者管理流程点/信息共享角色等(考核治疗的规范与数据记录的标</w:t>
            </w:r>
            <w:r>
              <w:rPr>
                <w:spacing w:val="-11"/>
                <w:sz w:val="20"/>
              </w:rPr>
              <w:t>准化与质量，评</w:t>
            </w:r>
            <w:r>
              <w:rPr>
                <w:sz w:val="20"/>
              </w:rPr>
              <w:t>价信息系统和临床标准中规</w:t>
            </w:r>
            <w:r>
              <w:rPr>
                <w:spacing w:val="-11"/>
                <w:sz w:val="20"/>
              </w:rPr>
              <w:t>范数据、规范指</w:t>
            </w:r>
            <w:r>
              <w:rPr>
                <w:sz w:val="20"/>
              </w:rPr>
              <w:t>南模板的应用</w:t>
            </w:r>
            <w:r>
              <w:rPr>
                <w:spacing w:val="-11"/>
                <w:sz w:val="20"/>
              </w:rPr>
              <w:t>比例。实际应用</w:t>
            </w:r>
            <w:r>
              <w:rPr>
                <w:sz w:val="20"/>
              </w:rPr>
              <w:t>范围与数量/规</w:t>
            </w:r>
          </w:p>
        </w:tc>
        <w:tc>
          <w:tcPr>
            <w:tcW w:w="708" w:type="dxa"/>
          </w:tcPr>
          <w:p>
            <w:pPr>
              <w:pStyle w:val="TableParagraph"/>
              <w:spacing w:line="274" w:lineRule="exact" w:before="26"/>
              <w:ind w:left="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应用规范与质量</w:t>
            </w:r>
          </w:p>
          <w:p>
            <w:pPr>
              <w:pStyle w:val="TableParagraph"/>
              <w:spacing w:line="268" w:lineRule="auto" w:before="33"/>
              <w:ind w:left="121" w:right="110"/>
              <w:jc w:val="center"/>
              <w:rPr>
                <w:sz w:val="20"/>
              </w:rPr>
            </w:pPr>
            <w:r>
              <w:rPr>
                <w:sz w:val="20"/>
              </w:rPr>
              <w:t>（实际使用数量/ 规范要求数量） 例如：进行规范治疗数量/全部进行治疗的人数= 规范治疗率。</w:t>
            </w:r>
          </w:p>
        </w:tc>
        <w:tc>
          <w:tcPr>
            <w:tcW w:w="178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8" w:lineRule="auto" w:before="143"/>
              <w:ind w:left="107" w:right="68"/>
              <w:jc w:val="both"/>
              <w:rPr>
                <w:sz w:val="20"/>
              </w:rPr>
            </w:pPr>
            <w:r>
              <w:rPr>
                <w:sz w:val="20"/>
              </w:rPr>
              <w:t>功能评分*应用比率。例如：系统功能为 4 级，应用率为 20%，综合得分为 0.8 分（4*0.2）</w:t>
            </w:r>
          </w:p>
        </w:tc>
      </w:tr>
      <w:tr>
        <w:trPr>
          <w:trHeight w:val="623" w:hRule="atLeast"/>
        </w:trPr>
        <w:tc>
          <w:tcPr>
            <w:tcW w:w="768" w:type="dxa"/>
          </w:tcPr>
          <w:p>
            <w:pPr>
              <w:pStyle w:val="TableParagraph"/>
              <w:spacing w:before="176"/>
              <w:ind w:left="199" w:right="193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4-2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5" w:type="dxa"/>
          </w:tcPr>
          <w:p>
            <w:pPr>
              <w:pStyle w:val="TableParagraph"/>
              <w:spacing w:before="20"/>
              <w:ind w:left="108"/>
              <w:rPr>
                <w:sz w:val="20"/>
              </w:rPr>
            </w:pPr>
            <w:r>
              <w:rPr>
                <w:sz w:val="20"/>
              </w:rPr>
              <w:t>有电子化治疗临床路径。信息系统功能 1 级。（电子</w:t>
            </w:r>
          </w:p>
          <w:p>
            <w:pPr>
              <w:pStyle w:val="TableParagraph"/>
              <w:spacing w:line="272" w:lineRule="exact" w:before="32"/>
              <w:ind w:left="108"/>
              <w:rPr>
                <w:sz w:val="20"/>
              </w:rPr>
            </w:pPr>
            <w:r>
              <w:rPr>
                <w:sz w:val="20"/>
              </w:rPr>
              <w:t>化）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76"/>
              <w:ind w:left="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6" w:hRule="atLeast"/>
        </w:trPr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99" w:right="193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4-3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5" w:type="dxa"/>
          </w:tcPr>
          <w:p>
            <w:pPr>
              <w:pStyle w:val="TableParagraph"/>
              <w:spacing w:line="268" w:lineRule="auto" w:before="22"/>
              <w:ind w:left="108" w:right="22"/>
              <w:rPr>
                <w:sz w:val="20"/>
              </w:rPr>
            </w:pPr>
            <w:r>
              <w:rPr>
                <w:sz w:val="20"/>
              </w:rPr>
              <w:t>VTE 治疗路径嵌入任意一个或多个信息系统，并实现</w:t>
            </w:r>
            <w:r>
              <w:rPr>
                <w:w w:val="95"/>
                <w:sz w:val="20"/>
              </w:rPr>
              <w:t>规范治疗的路径引导和出入路径的标准控制（如入路</w:t>
            </w:r>
          </w:p>
          <w:p>
            <w:pPr>
              <w:pStyle w:val="TableParagraph"/>
              <w:spacing w:line="267" w:lineRule="exact"/>
              <w:ind w:left="108"/>
              <w:rPr>
                <w:sz w:val="20"/>
              </w:rPr>
            </w:pPr>
            <w:r>
              <w:rPr>
                <w:sz w:val="20"/>
              </w:rPr>
              <w:t>径、出路径等）。信息系统功能 2 级（自动化）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7" w:hRule="atLeast"/>
        </w:trPr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99" w:right="193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4-4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5" w:type="dxa"/>
          </w:tcPr>
          <w:p>
            <w:pPr>
              <w:pStyle w:val="TableParagraph"/>
              <w:spacing w:line="268" w:lineRule="auto" w:before="21"/>
              <w:ind w:left="108"/>
              <w:rPr>
                <w:sz w:val="20"/>
              </w:rPr>
            </w:pPr>
            <w:r>
              <w:rPr>
                <w:spacing w:val="-12"/>
                <w:sz w:val="20"/>
              </w:rPr>
              <w:t>规范统一的治疗术语、治疗记录模板、手术记录模板， </w:t>
            </w:r>
            <w:r>
              <w:rPr>
                <w:spacing w:val="-5"/>
                <w:sz w:val="20"/>
              </w:rPr>
              <w:t>临床改善评价表、风险告知书等，实现多系统、多角色统一调取，跨角色，跨系统共享。信息系统功能 </w:t>
            </w:r>
            <w:r>
              <w:rPr>
                <w:sz w:val="20"/>
              </w:rPr>
              <w:t>3</w:t>
            </w:r>
          </w:p>
          <w:p>
            <w:pPr>
              <w:pStyle w:val="TableParagraph"/>
              <w:spacing w:line="267" w:lineRule="exact"/>
              <w:ind w:left="108"/>
              <w:rPr>
                <w:sz w:val="20"/>
              </w:rPr>
            </w:pPr>
            <w:r>
              <w:rPr>
                <w:sz w:val="20"/>
              </w:rPr>
              <w:t>级（规范化）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3" w:hRule="atLeast"/>
        </w:trPr>
        <w:tc>
          <w:tcPr>
            <w:tcW w:w="768" w:type="dxa"/>
          </w:tcPr>
          <w:p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99" w:right="193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4-5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5" w:type="dxa"/>
          </w:tcPr>
          <w:p>
            <w:pPr>
              <w:pStyle w:val="TableParagraph"/>
              <w:spacing w:line="268" w:lineRule="auto" w:before="21"/>
              <w:ind w:left="108" w:right="21"/>
              <w:rPr>
                <w:sz w:val="20"/>
              </w:rPr>
            </w:pPr>
            <w:r>
              <w:rPr>
                <w:w w:val="95"/>
                <w:sz w:val="20"/>
              </w:rPr>
              <w:t>建立治疗规范引导和识别的辅助决策系统，能及时获 </w:t>
            </w:r>
            <w:r>
              <w:rPr>
                <w:sz w:val="20"/>
              </w:rPr>
              <w:t>取患者动态数据变化，并根据变化动态的提示、预警</w:t>
            </w:r>
          </w:p>
          <w:p>
            <w:pPr>
              <w:pStyle w:val="TableParagraph"/>
              <w:spacing w:line="266" w:lineRule="exact"/>
              <w:ind w:left="108"/>
              <w:rPr>
                <w:sz w:val="20"/>
              </w:rPr>
            </w:pPr>
            <w:r>
              <w:rPr>
                <w:sz w:val="20"/>
              </w:rPr>
              <w:t>和辅助诊疗决策。信息系统功能 4 级。（智能化）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00" w:orient="landscape"/>
          <w:pgMar w:top="720" w:bottom="280" w:left="500" w:right="7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"/>
        <w:gridCol w:w="787"/>
        <w:gridCol w:w="3314"/>
        <w:gridCol w:w="4765"/>
        <w:gridCol w:w="1560"/>
        <w:gridCol w:w="708"/>
        <w:gridCol w:w="1701"/>
        <w:gridCol w:w="1787"/>
      </w:tblGrid>
      <w:tr>
        <w:trPr>
          <w:trHeight w:val="3120" w:hRule="atLeast"/>
        </w:trPr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99" w:right="193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4-6</w:t>
            </w:r>
          </w:p>
        </w:tc>
        <w:tc>
          <w:tcPr>
            <w:tcW w:w="7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before="21"/>
              <w:ind w:left="107"/>
              <w:rPr>
                <w:sz w:val="20"/>
              </w:rPr>
            </w:pPr>
            <w:r>
              <w:rPr>
                <w:sz w:val="20"/>
              </w:rPr>
              <w:t>入和手术治疗。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09" w:val="left" w:leader="none"/>
              </w:tabs>
              <w:spacing w:line="268" w:lineRule="auto" w:before="33" w:after="0"/>
              <w:ind w:left="107" w:right="98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医院应制定围手术期患者抗凝药</w:t>
            </w:r>
            <w:r>
              <w:rPr>
                <w:sz w:val="20"/>
              </w:rPr>
              <w:t>物的管理规范，麻醉科及相关手术科室应按照相关管理规范严格执</w:t>
            </w:r>
          </w:p>
          <w:p>
            <w:pPr>
              <w:pStyle w:val="TableParagraph"/>
              <w:spacing w:line="276" w:lineRule="exact"/>
              <w:ind w:left="107"/>
              <w:rPr>
                <w:sz w:val="20"/>
              </w:rPr>
            </w:pPr>
            <w:r>
              <w:rPr>
                <w:sz w:val="20"/>
              </w:rPr>
              <w:t>行。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09" w:val="left" w:leader="none"/>
              </w:tabs>
              <w:spacing w:line="268" w:lineRule="auto" w:before="32" w:after="0"/>
              <w:ind w:left="107" w:right="-15" w:firstLine="0"/>
              <w:jc w:val="left"/>
              <w:rPr>
                <w:sz w:val="20"/>
              </w:rPr>
            </w:pPr>
            <w:r>
              <w:rPr>
                <w:sz w:val="20"/>
              </w:rPr>
              <w:t>VTE</w:t>
            </w:r>
            <w:r>
              <w:rPr>
                <w:spacing w:val="-1"/>
                <w:sz w:val="20"/>
              </w:rPr>
              <w:t> 疾病诊治相关科室和高危科</w:t>
            </w:r>
            <w:r>
              <w:rPr>
                <w:spacing w:val="-2"/>
                <w:sz w:val="20"/>
              </w:rPr>
              <w:t>室应设置医院内 </w:t>
            </w:r>
            <w:r>
              <w:rPr>
                <w:sz w:val="20"/>
              </w:rPr>
              <w:t>VTE</w:t>
            </w:r>
            <w:r>
              <w:rPr>
                <w:spacing w:val="-2"/>
                <w:sz w:val="20"/>
              </w:rPr>
              <w:t> 防治医生联络员，负责对本科室医务人员的培训、指导及相关医疗规范与标准的落</w:t>
            </w:r>
          </w:p>
          <w:p>
            <w:pPr>
              <w:pStyle w:val="TableParagraph"/>
              <w:spacing w:line="265" w:lineRule="exact"/>
              <w:ind w:left="107"/>
              <w:rPr>
                <w:sz w:val="20"/>
              </w:rPr>
            </w:pPr>
            <w:r>
              <w:rPr>
                <w:sz w:val="20"/>
              </w:rPr>
              <w:t>实。</w:t>
            </w:r>
          </w:p>
        </w:tc>
        <w:tc>
          <w:tcPr>
            <w:tcW w:w="47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8" w:lineRule="auto"/>
              <w:ind w:left="108" w:right="46"/>
              <w:jc w:val="both"/>
              <w:rPr>
                <w:sz w:val="20"/>
              </w:rPr>
            </w:pPr>
            <w:r>
              <w:rPr>
                <w:sz w:val="20"/>
              </w:rPr>
              <w:t>VTE</w:t>
            </w:r>
            <w:r>
              <w:rPr>
                <w:spacing w:val="-2"/>
                <w:sz w:val="20"/>
              </w:rPr>
              <w:t> 患者治疗信息可以在住院</w:t>
            </w:r>
            <w:r>
              <w:rPr>
                <w:sz w:val="20"/>
              </w:rPr>
              <w:t>/门诊，医院/家庭，医院/</w:t>
            </w:r>
            <w:r>
              <w:rPr>
                <w:spacing w:val="-4"/>
                <w:sz w:val="20"/>
              </w:rPr>
              <w:t>其他机构之间互通，实现医院-社区-家庭-个人的信息共享。信息系统功能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级。信息系统功能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级。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auto" w:before="21"/>
              <w:ind w:left="107" w:right="131"/>
              <w:rPr>
                <w:sz w:val="20"/>
              </w:rPr>
            </w:pPr>
            <w:r>
              <w:rPr>
                <w:sz w:val="20"/>
              </w:rPr>
              <w:t>范要求的数量= 应用比率）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768" w:type="dxa"/>
          </w:tcPr>
          <w:p>
            <w:pPr>
              <w:pStyle w:val="TableParagraph"/>
              <w:spacing w:before="98"/>
              <w:ind w:left="199" w:right="193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5-1</w:t>
            </w:r>
          </w:p>
        </w:tc>
        <w:tc>
          <w:tcPr>
            <w:tcW w:w="78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68" w:lineRule="auto" w:before="1"/>
              <w:ind w:left="191" w:right="185"/>
              <w:rPr>
                <w:sz w:val="20"/>
              </w:rPr>
            </w:pPr>
            <w:r>
              <w:rPr>
                <w:sz w:val="20"/>
              </w:rPr>
              <w:t>质量控制</w:t>
            </w:r>
          </w:p>
        </w:tc>
        <w:tc>
          <w:tcPr>
            <w:tcW w:w="3314" w:type="dxa"/>
            <w:vMerge w:val="restart"/>
          </w:tcPr>
          <w:p>
            <w:pPr>
              <w:pStyle w:val="TableParagraph"/>
              <w:spacing w:line="268" w:lineRule="auto" w:before="21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1. 重点监测的过程指标与结局指标1）过程指标：医院应根据本单位的实际情况确定重点监测的过程指</w:t>
            </w:r>
          </w:p>
          <w:p>
            <w:pPr>
              <w:pStyle w:val="TableParagraph"/>
              <w:spacing w:line="268" w:lineRule="auto"/>
              <w:ind w:left="107" w:right="179"/>
              <w:jc w:val="both"/>
              <w:rPr>
                <w:sz w:val="20"/>
              </w:rPr>
            </w:pPr>
            <w:r>
              <w:rPr>
                <w:sz w:val="20"/>
              </w:rPr>
              <w:t>标，如：VTE 风险评估率、出血风险评估率、预防措施实施率、患者宣教知晓度等</w:t>
            </w:r>
          </w:p>
          <w:p>
            <w:pPr>
              <w:pStyle w:val="TableParagraph"/>
              <w:spacing w:line="268" w:lineRule="auto"/>
              <w:ind w:left="107" w:right="95"/>
              <w:rPr>
                <w:sz w:val="20"/>
              </w:rPr>
            </w:pPr>
            <w:r>
              <w:rPr>
                <w:sz w:val="20"/>
              </w:rPr>
              <w:t>2）结局指标：医院应根据本单位的实际情况确定重点监测的结局指</w:t>
            </w:r>
          </w:p>
          <w:p>
            <w:pPr>
              <w:pStyle w:val="TableParagraph"/>
              <w:spacing w:line="268" w:lineRule="auto"/>
              <w:ind w:left="107" w:right="88"/>
              <w:rPr>
                <w:sz w:val="20"/>
              </w:rPr>
            </w:pPr>
            <w:r>
              <w:rPr>
                <w:sz w:val="20"/>
              </w:rPr>
              <w:t>标，如：医院相关性 VTE 发生率、VTE 相关病死率等。</w:t>
            </w:r>
          </w:p>
          <w:p>
            <w:pPr>
              <w:pStyle w:val="TableParagraph"/>
              <w:spacing w:line="277" w:lineRule="exact"/>
              <w:ind w:left="107"/>
              <w:rPr>
                <w:sz w:val="20"/>
              </w:rPr>
            </w:pPr>
            <w:r>
              <w:rPr>
                <w:sz w:val="20"/>
              </w:rPr>
              <w:t>2. 计划和持续改进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09" w:val="left" w:leader="none"/>
              </w:tabs>
              <w:spacing w:line="268" w:lineRule="auto" w:before="22" w:after="0"/>
              <w:ind w:left="107" w:right="98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医院应根据本单位的实际情况与发展规划，制定医院内 </w:t>
            </w:r>
            <w:r>
              <w:rPr>
                <w:sz w:val="20"/>
              </w:rPr>
              <w:t>VTE</w:t>
            </w:r>
            <w:r>
              <w:rPr>
                <w:spacing w:val="-2"/>
                <w:sz w:val="20"/>
              </w:rPr>
              <w:t> 防治质量改进计划，明确重点监测指标的改进程度。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09" w:val="left" w:leader="none"/>
              </w:tabs>
              <w:spacing w:line="268" w:lineRule="auto" w:before="0" w:after="0"/>
              <w:ind w:left="107" w:right="98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定期监测医院内 </w:t>
            </w:r>
            <w:r>
              <w:rPr>
                <w:sz w:val="20"/>
              </w:rPr>
              <w:t>VTE</w:t>
            </w:r>
            <w:r>
              <w:rPr>
                <w:spacing w:val="-2"/>
                <w:sz w:val="20"/>
              </w:rPr>
              <w:t> 防治工作</w:t>
            </w:r>
            <w:r>
              <w:rPr>
                <w:spacing w:val="-3"/>
                <w:sz w:val="20"/>
              </w:rPr>
              <w:t>的过程指标和结局指标，通过实施</w:t>
            </w:r>
            <w:r>
              <w:rPr>
                <w:spacing w:val="-4"/>
                <w:sz w:val="20"/>
              </w:rPr>
              <w:t>医院内 </w:t>
            </w:r>
            <w:r>
              <w:rPr>
                <w:sz w:val="20"/>
              </w:rPr>
              <w:t>VTE</w:t>
            </w:r>
            <w:r>
              <w:rPr>
                <w:spacing w:val="-2"/>
                <w:sz w:val="20"/>
              </w:rPr>
              <w:t> 防治的一系列规范化管理，达到过程指标和结局指标的改善趋势，以提高住院患者的医疗质</w:t>
            </w:r>
          </w:p>
          <w:p>
            <w:pPr>
              <w:pStyle w:val="TableParagraph"/>
              <w:spacing w:line="263" w:lineRule="exact"/>
              <w:ind w:left="107"/>
              <w:rPr>
                <w:sz w:val="20"/>
              </w:rPr>
            </w:pPr>
            <w:r>
              <w:rPr>
                <w:sz w:val="20"/>
              </w:rPr>
              <w:t>量与安全。</w:t>
            </w:r>
          </w:p>
        </w:tc>
        <w:tc>
          <w:tcPr>
            <w:tcW w:w="4765" w:type="dxa"/>
          </w:tcPr>
          <w:p>
            <w:pPr>
              <w:pStyle w:val="TableParagraph"/>
              <w:spacing w:before="98"/>
              <w:ind w:left="108"/>
              <w:rPr>
                <w:sz w:val="20"/>
              </w:rPr>
            </w:pPr>
            <w:r>
              <w:rPr>
                <w:sz w:val="20"/>
              </w:rPr>
              <w:t>人工报送和数据统计。信息系统功能 0 级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8" w:lineRule="auto" w:before="1"/>
              <w:ind w:left="107" w:right="99"/>
              <w:rPr>
                <w:sz w:val="20"/>
              </w:rPr>
            </w:pPr>
            <w:r>
              <w:rPr>
                <w:sz w:val="20"/>
              </w:rPr>
              <w:t>标准指标采集/ 数据规范达标/ 已有系统集成范围/信息共享范围等(考核质控数据和信息平台的功能和数据指标覆盖</w:t>
            </w:r>
            <w:r>
              <w:rPr>
                <w:spacing w:val="-11"/>
                <w:sz w:val="20"/>
              </w:rPr>
              <w:t>率。实际应用范</w:t>
            </w:r>
            <w:r>
              <w:rPr>
                <w:sz w:val="20"/>
              </w:rPr>
              <w:t>围与数量/规范要求的数量=应用比率）</w:t>
            </w:r>
          </w:p>
        </w:tc>
        <w:tc>
          <w:tcPr>
            <w:tcW w:w="708" w:type="dxa"/>
          </w:tcPr>
          <w:p>
            <w:pPr>
              <w:pStyle w:val="TableParagraph"/>
              <w:spacing w:before="98"/>
              <w:ind w:left="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19" w:right="110"/>
              <w:jc w:val="center"/>
              <w:rPr>
                <w:sz w:val="20"/>
              </w:rPr>
            </w:pPr>
            <w:r>
              <w:rPr>
                <w:sz w:val="20"/>
              </w:rPr>
              <w:t>应用规范与质量</w:t>
            </w:r>
          </w:p>
          <w:p>
            <w:pPr>
              <w:pStyle w:val="TableParagraph"/>
              <w:spacing w:line="268" w:lineRule="auto" w:before="32"/>
              <w:ind w:left="121" w:right="110"/>
              <w:jc w:val="center"/>
              <w:rPr>
                <w:sz w:val="20"/>
              </w:rPr>
            </w:pPr>
            <w:r>
              <w:rPr>
                <w:sz w:val="20"/>
              </w:rPr>
              <w:t>（实际使用数量/ 规范要求数量） 例如：质控平台提取的质控指标/ 质控要求的指标数量=质控指标提取率。</w:t>
            </w:r>
          </w:p>
        </w:tc>
        <w:tc>
          <w:tcPr>
            <w:tcW w:w="178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68" w:lineRule="auto"/>
              <w:ind w:left="107" w:right="68"/>
              <w:jc w:val="both"/>
              <w:rPr>
                <w:sz w:val="20"/>
              </w:rPr>
            </w:pPr>
            <w:r>
              <w:rPr>
                <w:sz w:val="20"/>
              </w:rPr>
              <w:t>功能评分*应用比率。例如：系统功能为 4 级，应用率为 20%，综合得分为 0.8 分（4*0.2）</w:t>
            </w:r>
          </w:p>
        </w:tc>
      </w:tr>
      <w:tr>
        <w:trPr>
          <w:trHeight w:val="640" w:hRule="atLeast"/>
        </w:trPr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99" w:right="193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5-2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5" w:type="dxa"/>
          </w:tcPr>
          <w:p>
            <w:pPr>
              <w:pStyle w:val="TableParagraph"/>
              <w:spacing w:before="28"/>
              <w:ind w:left="108"/>
              <w:rPr>
                <w:sz w:val="20"/>
              </w:rPr>
            </w:pPr>
            <w:r>
              <w:rPr>
                <w:sz w:val="20"/>
              </w:rPr>
              <w:t>单系统，单功能的数据统计分析，为管理决策提供数</w:t>
            </w:r>
          </w:p>
          <w:p>
            <w:pPr>
              <w:pStyle w:val="TableParagraph"/>
              <w:spacing w:line="279" w:lineRule="exact" w:before="33"/>
              <w:ind w:left="108"/>
              <w:rPr>
                <w:sz w:val="20"/>
              </w:rPr>
            </w:pPr>
            <w:r>
              <w:rPr>
                <w:sz w:val="20"/>
              </w:rPr>
              <w:t>据（电子化）。信息系统功能 1 级。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6" w:hRule="atLeast"/>
        </w:trPr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99" w:right="193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5-3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5" w:type="dxa"/>
          </w:tcPr>
          <w:p>
            <w:pPr>
              <w:pStyle w:val="TableParagraph"/>
              <w:spacing w:line="268" w:lineRule="auto" w:before="2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建立统一的 </w:t>
            </w:r>
            <w:r>
              <w:rPr>
                <w:sz w:val="20"/>
              </w:rPr>
              <w:t>VTE</w:t>
            </w:r>
            <w:r>
              <w:rPr>
                <w:spacing w:val="-5"/>
                <w:sz w:val="20"/>
              </w:rPr>
              <w:t> 防治数据管理系统系统，集成评估、</w:t>
            </w:r>
            <w:r>
              <w:rPr>
                <w:spacing w:val="-7"/>
                <w:sz w:val="20"/>
              </w:rPr>
              <w:t>预防、诊断、治疗的过程数据，实现质量控制管理信</w:t>
            </w:r>
          </w:p>
          <w:p>
            <w:pPr>
              <w:pStyle w:val="TableParagraph"/>
              <w:spacing w:line="268" w:lineRule="exact"/>
              <w:ind w:left="108"/>
              <w:rPr>
                <w:sz w:val="20"/>
              </w:rPr>
            </w:pPr>
            <w:r>
              <w:rPr>
                <w:sz w:val="20"/>
              </w:rPr>
              <w:t>息化。信息系统功能 2 级。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5" w:hRule="atLeast"/>
        </w:trPr>
        <w:tc>
          <w:tcPr>
            <w:tcW w:w="768" w:type="dxa"/>
          </w:tcPr>
          <w:p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99" w:right="193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5-4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5" w:type="dxa"/>
          </w:tcPr>
          <w:p>
            <w:pPr>
              <w:pStyle w:val="TableParagraph"/>
              <w:spacing w:before="21"/>
              <w:ind w:left="108"/>
              <w:rPr>
                <w:sz w:val="20"/>
              </w:rPr>
            </w:pPr>
            <w:r>
              <w:rPr>
                <w:sz w:val="20"/>
              </w:rPr>
              <w:t>建立统一、标准、规范的指标体系，自动实现质控指</w:t>
            </w:r>
          </w:p>
          <w:p>
            <w:pPr>
              <w:pStyle w:val="TableParagraph"/>
              <w:spacing w:line="310" w:lineRule="atLeast" w:before="2"/>
              <w:ind w:left="108"/>
              <w:rPr>
                <w:sz w:val="20"/>
              </w:rPr>
            </w:pPr>
            <w:r>
              <w:rPr>
                <w:spacing w:val="-14"/>
                <w:w w:val="95"/>
                <w:sz w:val="20"/>
              </w:rPr>
              <w:t>标的生成，预警，分权限，分角色的实现信息的共享。 </w:t>
            </w:r>
            <w:r>
              <w:rPr>
                <w:spacing w:val="-13"/>
                <w:sz w:val="20"/>
              </w:rPr>
              <w:t>信息系统功能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级</w:t>
            </w:r>
            <w:r>
              <w:rPr>
                <w:sz w:val="20"/>
              </w:rPr>
              <w:t>（规范化）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0" w:hRule="atLeast"/>
        </w:trPr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99" w:right="193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5-5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5" w:type="dxa"/>
          </w:tcPr>
          <w:p>
            <w:pPr>
              <w:pStyle w:val="TableParagraph"/>
              <w:spacing w:line="268" w:lineRule="auto" w:before="21"/>
              <w:ind w:left="108" w:right="46"/>
              <w:rPr>
                <w:sz w:val="20"/>
              </w:rPr>
            </w:pPr>
            <w:r>
              <w:rPr>
                <w:spacing w:val="-1"/>
                <w:sz w:val="20"/>
              </w:rPr>
              <w:t>建立基于数据的 </w:t>
            </w:r>
            <w:r>
              <w:rPr>
                <w:sz w:val="20"/>
              </w:rPr>
              <w:t>VTE</w:t>
            </w:r>
            <w:r>
              <w:rPr>
                <w:spacing w:val="-2"/>
                <w:sz w:val="20"/>
              </w:rPr>
              <w:t> 防治质量评价辅助决策系统， </w:t>
            </w:r>
            <w:r>
              <w:rPr>
                <w:spacing w:val="-2"/>
                <w:w w:val="95"/>
                <w:sz w:val="20"/>
              </w:rPr>
              <w:t>能及时获取动态数据变化，并根据变化动态的提示、 预警和辅助质量分析与过程控制，并与评估、预防、 </w:t>
            </w:r>
            <w:r>
              <w:rPr>
                <w:spacing w:val="-3"/>
                <w:sz w:val="20"/>
              </w:rPr>
              <w:t>诊断、治疗等流程进行交互和提醒。信息系统功能 </w:t>
            </w: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66" w:lineRule="exact"/>
              <w:ind w:left="108"/>
              <w:rPr>
                <w:sz w:val="20"/>
              </w:rPr>
            </w:pPr>
            <w:r>
              <w:rPr>
                <w:sz w:val="20"/>
              </w:rPr>
              <w:t>级。（智能化）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3" w:hRule="atLeast"/>
        </w:trPr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6"/>
              <w:ind w:left="199" w:right="193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5-6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68" w:lineRule="auto"/>
              <w:ind w:left="108" w:right="99"/>
              <w:rPr>
                <w:sz w:val="20"/>
              </w:rPr>
            </w:pPr>
            <w:r>
              <w:rPr>
                <w:sz w:val="20"/>
              </w:rPr>
              <w:t>质量控制管理平台能够提取质控数据与上级质控管</w:t>
            </w:r>
            <w:r>
              <w:rPr>
                <w:spacing w:val="-7"/>
                <w:w w:val="95"/>
                <w:sz w:val="20"/>
              </w:rPr>
              <w:t>理部门共享，在标准统一的基础上可以实现质控数据 </w:t>
            </w:r>
            <w:r>
              <w:rPr>
                <w:spacing w:val="-7"/>
                <w:sz w:val="20"/>
              </w:rPr>
              <w:t>的系统交互，数据自动报送。信息系统功能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级。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6"/>
              <w:ind w:left="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00" w:orient="landscape"/>
          <w:pgMar w:top="720" w:bottom="280" w:left="500" w:right="720"/>
        </w:sectPr>
      </w:pPr>
    </w:p>
    <w:p>
      <w:pPr>
        <w:pStyle w:val="BodyText"/>
        <w:spacing w:line="240" w:lineRule="auto"/>
        <w:ind w:left="107"/>
        <w:rPr>
          <w:rFonts w:ascii="Times New Roman"/>
        </w:rPr>
      </w:pPr>
      <w:r>
        <w:rPr>
          <w:rFonts w:ascii="Times New Roman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769.5pt;height:94.5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pStyle w:val="BodyText"/>
                    <w:spacing w:before="140"/>
                  </w:pPr>
                  <w:r>
                    <w:rPr/>
                    <w:t>参考文献：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404" w:val="left" w:leader="none"/>
                    </w:tabs>
                    <w:spacing w:line="216" w:lineRule="auto" w:before="6" w:after="0"/>
                    <w:ind w:left="103" w:right="177" w:firstLine="0"/>
                    <w:jc w:val="left"/>
                  </w:pPr>
                  <w:r>
                    <w:rPr>
                      <w:spacing w:val="-1"/>
                    </w:rPr>
                    <w:t>中国健康促进基金会血栓与血管专项基金专家委员会, 中华医学会呼吸病学分会肺栓塞与肺血管病学组中国医师协会, 呼吸医师分会肺栓塞与肺血管病工作委员会. 医院内</w:t>
                  </w:r>
                  <w:r>
                    <w:rPr>
                      <w:spacing w:val="-1"/>
                      <w:w w:val="99"/>
                    </w:rPr>
                    <w:t>静脉血栓栓塞症防治与管理建议</w:t>
                  </w:r>
                  <w:r>
                    <w:rPr>
                      <w:spacing w:val="1"/>
                      <w:w w:val="179"/>
                    </w:rPr>
                    <w:t>.</w:t>
                  </w:r>
                  <w:r>
                    <w:rPr>
                      <w:w w:val="99"/>
                    </w:rPr>
                    <w:t>中华医学杂志</w:t>
                  </w:r>
                  <w:r>
                    <w:rPr>
                      <w:w w:val="179"/>
                    </w:rPr>
                    <w:t>,</w:t>
                  </w:r>
                  <w:r>
                    <w:rPr>
                      <w:w w:val="89"/>
                    </w:rPr>
                    <w:t>2018</w:t>
                  </w:r>
                  <w:r>
                    <w:rPr>
                      <w:w w:val="179"/>
                    </w:rPr>
                    <w:t>,</w:t>
                  </w:r>
                  <w:r>
                    <w:rPr>
                      <w:w w:val="89"/>
                    </w:rPr>
                    <w:t>98</w:t>
                  </w:r>
                  <w:r>
                    <w:rPr>
                      <w:w w:val="92"/>
                    </w:rPr>
                    <w:t>(</w:t>
                  </w:r>
                  <w:r>
                    <w:rPr>
                      <w:w w:val="89"/>
                    </w:rPr>
                    <w:t>18</w:t>
                  </w:r>
                  <w:r>
                    <w:rPr>
                      <w:w w:val="92"/>
                    </w:rPr>
                    <w:t>)</w:t>
                  </w:r>
                  <w:r>
                    <w:rPr>
                      <w:w w:val="179"/>
                    </w:rPr>
                    <w:t>:</w:t>
                  </w:r>
                  <w:r>
                    <w:rPr>
                      <w:w w:val="89"/>
                    </w:rPr>
                    <w:t>1383</w:t>
                  </w:r>
                  <w:r>
                    <w:rPr>
                      <w:w w:val="210"/>
                    </w:rPr>
                    <w:t>-</w:t>
                  </w:r>
                  <w:r>
                    <w:rPr>
                      <w:w w:val="89"/>
                    </w:rPr>
                    <w:t>1388</w:t>
                  </w:r>
                  <w:r>
                    <w:rPr>
                      <w:w w:val="179"/>
                    </w:rPr>
                    <w:t>.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404" w:val="left" w:leader="none"/>
                    </w:tabs>
                    <w:spacing w:line="303" w:lineRule="exact" w:before="0" w:after="0"/>
                    <w:ind w:left="403" w:right="0" w:hanging="301"/>
                    <w:jc w:val="left"/>
                  </w:pPr>
                  <w:r>
                    <w:rPr>
                      <w:w w:val="105"/>
                    </w:rPr>
                    <w:t>国家卫生健康委员会</w:t>
                  </w:r>
                  <w:r>
                    <w:rPr>
                      <w:spacing w:val="14"/>
                      <w:w w:val="120"/>
                    </w:rPr>
                    <w:t>, </w:t>
                  </w:r>
                  <w:r>
                    <w:rPr>
                      <w:w w:val="105"/>
                    </w:rPr>
                    <w:t>电子病历系统应用水平分级评价管理办法</w:t>
                  </w:r>
                  <w:r>
                    <w:rPr>
                      <w:spacing w:val="15"/>
                      <w:w w:val="120"/>
                    </w:rPr>
                    <w:t>, </w:t>
                  </w:r>
                  <w:r>
                    <w:rPr>
                      <w:w w:val="105"/>
                    </w:rPr>
                    <w:t>2018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404" w:val="left" w:leader="none"/>
                    </w:tabs>
                    <w:spacing w:line="330" w:lineRule="exact" w:before="0" w:after="0"/>
                    <w:ind w:left="403" w:right="0" w:hanging="301"/>
                    <w:jc w:val="left"/>
                  </w:pPr>
                  <w:r>
                    <w:rPr>
                      <w:w w:val="99"/>
                    </w:rPr>
                    <w:t>国家卫生健康委员会</w:t>
                  </w:r>
                  <w:r>
                    <w:rPr>
                      <w:w w:val="179"/>
                    </w:rPr>
                    <w:t>,</w:t>
                  </w:r>
                  <w:r>
                    <w:rPr>
                      <w:spacing w:val="-6"/>
                    </w:rPr>
                    <w:t>  </w:t>
                  </w:r>
                  <w:r>
                    <w:rPr>
                      <w:w w:val="99"/>
                    </w:rPr>
                    <w:t>电子病历系统应用水平分级评价标准</w:t>
                  </w:r>
                  <w:r>
                    <w:rPr>
                      <w:w w:val="179"/>
                    </w:rPr>
                    <w:t>,</w:t>
                  </w:r>
                  <w:r>
                    <w:rPr>
                      <w:w w:val="89"/>
                    </w:rPr>
                    <w:t>2018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</w:rPr>
      </w:r>
    </w:p>
    <w:sectPr>
      <w:pgSz w:w="16840" w:h="11900" w:orient="landscape"/>
      <w:pgMar w:top="720" w:bottom="280" w:left="5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微软雅黑">
    <w:altName w:val="微软雅黑"/>
    <w:charset w:val="86"/>
    <w:family w:val="swiss"/>
    <w:pitch w:val="variable"/>
  </w:font>
  <w:font w:name="Microsoft JhengHei">
    <w:altName w:val="Microsoft JhengHei"/>
    <w:charset w:val="0"/>
    <w:family w:val="swiss"/>
    <w:pitch w:val="variable"/>
  </w:font>
  <w:font w:name="PMingLiU">
    <w:altName w:val="PMingLiU"/>
    <w:charset w:val="0"/>
    <w:family w:val="roman"/>
    <w:pitch w:val="variable"/>
  </w:font>
  <w:font w:name="Arial Unicode MS">
    <w:altName w:val="Arial Unicode MS"/>
    <w:charset w:val="86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103" w:hanging="300"/>
        <w:jc w:val="left"/>
      </w:pPr>
      <w:rPr>
        <w:rFonts w:hint="default" w:ascii="Arial Unicode MS" w:hAnsi="Arial Unicode MS" w:eastAsia="Arial Unicode MS" w:cs="Arial Unicode MS"/>
        <w:w w:val="89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628" w:hanging="30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56" w:hanging="30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684" w:hanging="30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212" w:hanging="30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740" w:hanging="30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9268" w:hanging="30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796" w:hanging="30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2324" w:hanging="300"/>
      </w:pPr>
      <w:rPr>
        <w:rFonts w:hint="default"/>
        <w:lang w:val="zh-CN" w:eastAsia="zh-CN" w:bidi="zh-CN"/>
      </w:rPr>
    </w:lvl>
  </w:abstractNum>
  <w:abstractNum w:abstractNumId="4">
    <w:multiLevelType w:val="hybridMultilevel"/>
    <w:lvl w:ilvl="0">
      <w:start w:val="1"/>
      <w:numFmt w:val="decimal"/>
      <w:lvlText w:val="%1）"/>
      <w:lvlJc w:val="left"/>
      <w:pPr>
        <w:ind w:left="107" w:hanging="301"/>
        <w:jc w:val="left"/>
      </w:pPr>
      <w:rPr>
        <w:rFonts w:hint="default" w:ascii="PMingLiU" w:hAnsi="PMingLiU" w:eastAsia="PMingLiU" w:cs="PMingLiU"/>
        <w:spacing w:val="-3"/>
        <w:w w:val="99"/>
        <w:sz w:val="18"/>
        <w:szCs w:val="1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420" w:hanging="3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740" w:hanging="3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061" w:hanging="3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381" w:hanging="3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702" w:hanging="3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022" w:hanging="3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342" w:hanging="3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663" w:hanging="301"/>
      </w:pPr>
      <w:rPr>
        <w:rFonts w:hint="default"/>
        <w:lang w:val="zh-CN" w:eastAsia="zh-CN" w:bidi="zh-CN"/>
      </w:rPr>
    </w:lvl>
  </w:abstractNum>
  <w:abstractNum w:abstractNumId="3">
    <w:multiLevelType w:val="hybridMultilevel"/>
    <w:lvl w:ilvl="0">
      <w:start w:val="4"/>
      <w:numFmt w:val="decimal"/>
      <w:lvlText w:val="%1）"/>
      <w:lvlJc w:val="left"/>
      <w:pPr>
        <w:ind w:left="107" w:hanging="301"/>
        <w:jc w:val="left"/>
      </w:pPr>
      <w:rPr>
        <w:rFonts w:hint="default" w:ascii="PMingLiU" w:hAnsi="PMingLiU" w:eastAsia="PMingLiU" w:cs="PMingLiU"/>
        <w:spacing w:val="-3"/>
        <w:w w:val="99"/>
        <w:sz w:val="18"/>
        <w:szCs w:val="1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420" w:hanging="3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740" w:hanging="3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061" w:hanging="3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381" w:hanging="3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702" w:hanging="3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022" w:hanging="3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342" w:hanging="3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663" w:hanging="301"/>
      </w:pPr>
      <w:rPr>
        <w:rFonts w:hint="default"/>
        <w:lang w:val="zh-CN" w:eastAsia="zh-CN" w:bidi="zh-CN"/>
      </w:rPr>
    </w:lvl>
  </w:abstractNum>
  <w:abstractNum w:abstractNumId="2">
    <w:multiLevelType w:val="hybridMultilevel"/>
    <w:lvl w:ilvl="0">
      <w:start w:val="1"/>
      <w:numFmt w:val="decimal"/>
      <w:lvlText w:val="%1）"/>
      <w:lvlJc w:val="left"/>
      <w:pPr>
        <w:ind w:left="107" w:hanging="301"/>
        <w:jc w:val="left"/>
      </w:pPr>
      <w:rPr>
        <w:rFonts w:hint="default" w:ascii="PMingLiU" w:hAnsi="PMingLiU" w:eastAsia="PMingLiU" w:cs="PMingLiU"/>
        <w:spacing w:val="-67"/>
        <w:w w:val="99"/>
        <w:sz w:val="18"/>
        <w:szCs w:val="1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420" w:hanging="3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740" w:hanging="3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061" w:hanging="3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381" w:hanging="3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702" w:hanging="3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022" w:hanging="3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342" w:hanging="3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663" w:hanging="301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1"/>
      <w:numFmt w:val="decimal"/>
      <w:lvlText w:val="%1）"/>
      <w:lvlJc w:val="left"/>
      <w:pPr>
        <w:ind w:left="107" w:hanging="301"/>
        <w:jc w:val="left"/>
      </w:pPr>
      <w:rPr>
        <w:rFonts w:hint="default" w:ascii="PMingLiU" w:hAnsi="PMingLiU" w:eastAsia="PMingLiU" w:cs="PMingLiU"/>
        <w:spacing w:val="-3"/>
        <w:w w:val="99"/>
        <w:sz w:val="18"/>
        <w:szCs w:val="1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420" w:hanging="3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740" w:hanging="3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061" w:hanging="3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381" w:hanging="3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702" w:hanging="3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022" w:hanging="3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342" w:hanging="3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663" w:hanging="301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）"/>
      <w:lvlJc w:val="left"/>
      <w:pPr>
        <w:ind w:left="107" w:hanging="301"/>
        <w:jc w:val="left"/>
      </w:pPr>
      <w:rPr>
        <w:rFonts w:hint="default" w:ascii="PMingLiU" w:hAnsi="PMingLiU" w:eastAsia="PMingLiU" w:cs="PMingLiU"/>
        <w:spacing w:val="-75"/>
        <w:w w:val="99"/>
        <w:sz w:val="18"/>
        <w:szCs w:val="1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420" w:hanging="3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740" w:hanging="3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061" w:hanging="3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381" w:hanging="3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702" w:hanging="3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022" w:hanging="3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342" w:hanging="3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663" w:hanging="301"/>
      </w:pPr>
      <w:rPr>
        <w:rFonts w:hint="default"/>
        <w:lang w:val="zh-CN" w:eastAsia="zh-CN" w:bidi="zh-CN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MingLiU" w:hAnsi="PMingLiU" w:eastAsia="PMingLiU" w:cs="PMingLiU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line="330" w:lineRule="exact"/>
      <w:ind w:left="103"/>
    </w:pPr>
    <w:rPr>
      <w:rFonts w:ascii="Arial Unicode MS" w:hAnsi="Arial Unicode MS" w:eastAsia="Arial Unicode MS" w:cs="Arial Unicode MS"/>
      <w:sz w:val="20"/>
      <w:szCs w:val="2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PMingLiU" w:hAnsi="PMingLiU" w:eastAsia="PMingLiU" w:cs="PMingLiU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Kaiyuan Zhen</dc:creator>
  <dcterms:created xsi:type="dcterms:W3CDTF">2021-06-09T06:22:16Z</dcterms:created>
  <dcterms:modified xsi:type="dcterms:W3CDTF">2021-06-09T06:22:16Z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2021-06-09T00:00:00Z</vt:filetime>
  </property>
</Properties>
</file>