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jc w:val="center"/>
        <w:rPr>
          <w:rFonts w:hint="eastAsia" w:ascii="宋体" w:hAnsi="宋体"/>
          <w:sz w:val="28"/>
          <w:szCs w:val="28"/>
        </w:rPr>
      </w:pPr>
      <w:r>
        <w:rPr>
          <w:rFonts w:hint="eastAsia" w:ascii="宋体" w:hAnsi="宋体"/>
          <w:sz w:val="28"/>
          <w:szCs w:val="28"/>
          <w:lang w:eastAsia="zh-CN"/>
        </w:rPr>
        <w:t>医学电子图书馆建设项目</w:t>
      </w:r>
      <w:r>
        <w:rPr>
          <w:rFonts w:hint="eastAsia" w:ascii="宋体" w:hAnsi="宋体"/>
          <w:sz w:val="28"/>
          <w:szCs w:val="28"/>
        </w:rPr>
        <w:t>技术参数</w:t>
      </w:r>
    </w:p>
    <w:p>
      <w:pPr>
        <w:pStyle w:val="3"/>
        <w:spacing w:line="440" w:lineRule="exact"/>
        <w:rPr>
          <w:rFonts w:hint="eastAsia" w:ascii="宋体" w:hAnsi="宋体"/>
          <w:sz w:val="24"/>
          <w:szCs w:val="24"/>
        </w:rPr>
      </w:pPr>
      <w:r>
        <w:rPr>
          <w:rFonts w:hint="eastAsia" w:ascii="宋体" w:hAnsi="宋体"/>
          <w:sz w:val="24"/>
          <w:szCs w:val="24"/>
        </w:rPr>
        <w:t>一、总体要求</w:t>
      </w:r>
    </w:p>
    <w:p>
      <w:pPr>
        <w:pStyle w:val="12"/>
        <w:widowControl/>
        <w:numPr>
          <w:ilvl w:val="0"/>
          <w:numId w:val="1"/>
        </w:numPr>
        <w:spacing w:line="440" w:lineRule="exact"/>
        <w:ind w:firstLineChars="0"/>
        <w:textAlignment w:val="baseline"/>
        <w:rPr>
          <w:rFonts w:hint="eastAsia" w:ascii="宋体" w:hAnsi="宋体"/>
          <w:color w:val="000000" w:themeColor="text1"/>
          <w:szCs w:val="21"/>
          <w14:textFill>
            <w14:solidFill>
              <w14:schemeClr w14:val="tx1"/>
            </w14:solidFill>
          </w14:textFill>
        </w:rPr>
      </w:pPr>
      <w:r>
        <w:rPr>
          <w:rFonts w:hint="eastAsia" w:ascii="宋体" w:hAnsi="宋体"/>
          <w:szCs w:val="21"/>
        </w:rPr>
        <w:t>资源以及访问方式</w:t>
      </w:r>
      <w:r>
        <w:rPr>
          <w:rFonts w:hint="eastAsia" w:ascii="宋体" w:hAnsi="宋体"/>
          <w:color w:val="000000" w:themeColor="text1"/>
          <w:szCs w:val="21"/>
          <w14:textFill>
            <w14:solidFill>
              <w14:schemeClr w14:val="tx1"/>
            </w14:solidFill>
          </w14:textFill>
        </w:rPr>
        <w:t>为：</w:t>
      </w:r>
    </w:p>
    <w:p>
      <w:pPr>
        <w:widowControl/>
        <w:spacing w:line="440" w:lineRule="exact"/>
        <w:ind w:firstLine="42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包括中文医学期刊（镜像访问+网络包库访问）、外文医学期刊（网络包库访问）、中文电子图书（镜像访问）。</w:t>
      </w:r>
    </w:p>
    <w:p>
      <w:pPr>
        <w:pStyle w:val="12"/>
        <w:widowControl/>
        <w:numPr>
          <w:ilvl w:val="0"/>
          <w:numId w:val="1"/>
        </w:numPr>
        <w:spacing w:line="440" w:lineRule="exact"/>
        <w:ind w:firstLineChars="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全部全文数据要求提供PDF格式。</w:t>
      </w:r>
    </w:p>
    <w:p>
      <w:pPr>
        <w:pStyle w:val="12"/>
        <w:widowControl/>
        <w:numPr>
          <w:ilvl w:val="0"/>
          <w:numId w:val="1"/>
        </w:numPr>
        <w:spacing w:line="440" w:lineRule="exact"/>
        <w:ind w:firstLineChars="0"/>
        <w:textAlignment w:val="baseline"/>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所有数据内容均由合法版权来源，无任何知识产权纠纷，要求能够所有期刊出版社的版权授权文件备查；外文期刊须有原文传递单位授权等相关资质证明文件。</w:t>
      </w:r>
    </w:p>
    <w:p>
      <w:pPr>
        <w:pStyle w:val="12"/>
        <w:widowControl/>
        <w:numPr>
          <w:ilvl w:val="0"/>
          <w:numId w:val="1"/>
        </w:numPr>
        <w:spacing w:line="440" w:lineRule="exact"/>
        <w:ind w:firstLineChars="0"/>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公司营业资质完全符合国家新闻出版相关要求，合法正规，要求提供完整公司版权资质，包括“互联网出版许可证”、“出版物经营许可证”等相关资质文件。</w:t>
      </w:r>
    </w:p>
    <w:p>
      <w:pPr>
        <w:pStyle w:val="12"/>
        <w:numPr>
          <w:ilvl w:val="0"/>
          <w:numId w:val="1"/>
        </w:numPr>
        <w:spacing w:line="440" w:lineRule="exact"/>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要求在四川省设有分公司或办事机构和专职技术工程师提供技术支持。</w:t>
      </w:r>
    </w:p>
    <w:p>
      <w:pPr>
        <w:pStyle w:val="12"/>
        <w:numPr>
          <w:ilvl w:val="0"/>
          <w:numId w:val="1"/>
        </w:numPr>
        <w:spacing w:line="440" w:lineRule="exact"/>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7×24小时技术服务响应，24小时内故障上门服务。</w:t>
      </w:r>
    </w:p>
    <w:p>
      <w:pPr>
        <w:pStyle w:val="12"/>
        <w:numPr>
          <w:ilvl w:val="0"/>
          <w:numId w:val="1"/>
        </w:numPr>
        <w:spacing w:line="440" w:lineRule="exact"/>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如出现数据遗失，无条件进行购买数据恢复服务。</w:t>
      </w:r>
    </w:p>
    <w:p>
      <w:pPr>
        <w:pStyle w:val="12"/>
        <w:numPr>
          <w:ilvl w:val="0"/>
          <w:numId w:val="1"/>
        </w:numPr>
        <w:spacing w:line="440" w:lineRule="exact"/>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院内网镜像访问和互联网外文包库访问中要求不限制并发用户数。</w:t>
      </w:r>
    </w:p>
    <w:p>
      <w:pPr>
        <w:pStyle w:val="12"/>
        <w:numPr>
          <w:ilvl w:val="0"/>
          <w:numId w:val="1"/>
        </w:numPr>
        <w:spacing w:line="440" w:lineRule="exact"/>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时间年限为2015-2021年度。</w:t>
      </w:r>
    </w:p>
    <w:p>
      <w:pPr>
        <w:pStyle w:val="12"/>
        <w:numPr>
          <w:ilvl w:val="0"/>
          <w:numId w:val="1"/>
        </w:numPr>
        <w:spacing w:line="440" w:lineRule="exact"/>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服务期内：外文期刊数据库资源与pubmed同步更新，中文期刊数据库资源实时更新，镜像资源每年不少于2次更新。</w:t>
      </w:r>
    </w:p>
    <w:p>
      <w:pPr>
        <w:pStyle w:val="12"/>
        <w:numPr>
          <w:ilvl w:val="0"/>
          <w:numId w:val="1"/>
        </w:numPr>
        <w:spacing w:line="440" w:lineRule="exact"/>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管理员随时可查看本单位用户申请文献记录，并可以进行做出如申请期刊、某用户的使用量等统计报表；单位检索可统计本单位发表文献的科室、人员及具体文献等情况。</w:t>
      </w:r>
    </w:p>
    <w:p>
      <w:pPr>
        <w:pStyle w:val="12"/>
        <w:numPr>
          <w:ilvl w:val="0"/>
          <w:numId w:val="1"/>
        </w:numPr>
        <w:spacing w:line="440" w:lineRule="exact"/>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每月免费为数据库进行日常维护和数据更新；免费升级数据库平台；终生免费提供技术咨询解决疑难问题。</w:t>
      </w:r>
    </w:p>
    <w:p>
      <w:pPr>
        <w:pStyle w:val="12"/>
        <w:numPr>
          <w:ilvl w:val="0"/>
          <w:numId w:val="1"/>
        </w:numPr>
        <w:spacing w:line="440" w:lineRule="exact"/>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支持手机端和电脑端结合的使用模式，手机上可提供文献检索、全文获取等功能，云服务方式，满足医生随时随地查阅文献的需求。</w:t>
      </w:r>
    </w:p>
    <w:p>
      <w:pPr>
        <w:pStyle w:val="3"/>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二、中、外文医学期刊要求</w:t>
      </w:r>
    </w:p>
    <w:p>
      <w:pPr>
        <w:spacing w:line="360" w:lineRule="auto"/>
        <w:rPr>
          <w:rFonts w:hint="eastAsia" w:ascii="宋体" w:hAnsi="宋体"/>
          <w:szCs w:val="21"/>
        </w:rPr>
      </w:pPr>
      <w:r>
        <w:rPr>
          <w:rFonts w:hint="eastAsia" w:ascii="宋体" w:hAnsi="宋体"/>
          <w:szCs w:val="21"/>
        </w:rPr>
        <w:t>1、提供期刊浏览，可按照科室以及医学专业分类浏览功能；</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szCs w:val="21"/>
        </w:rPr>
        <w:t>2、</w:t>
      </w:r>
      <w:r>
        <w:rPr>
          <w:rFonts w:hint="eastAsia" w:ascii="宋体" w:hAnsi="宋体"/>
          <w:color w:val="000000" w:themeColor="text1"/>
          <w:szCs w:val="21"/>
          <w:highlight w:val="none"/>
          <w14:textFill>
            <w14:solidFill>
              <w14:schemeClr w14:val="tx1"/>
            </w14:solidFill>
          </w14:textFill>
        </w:rPr>
        <w:t>有中文期刊检索、外文期刊检索以及跨库检索等功能；</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3、能够提供关键词导航、MESH主题词检索功能，提供基于MESH主题词检索的一站式跨库、跨语言检索；</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4、能够提供中文医学期刊和外文医学期刊的深度整合；</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5、全部论文为标准PDF格式，使用PDF阅读工具即可阅读，不需要额外的阅读软件。</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hint="eastAsia" w:ascii="宋体" w:hAnsi="宋体"/>
          <w:color w:val="FF0000"/>
          <w:szCs w:val="21"/>
          <w:highlight w:val="none"/>
        </w:rPr>
        <w:t>收录资源包括知网、万方等期刊资源，期刊种类不少于</w:t>
      </w:r>
      <w:r>
        <w:rPr>
          <w:rFonts w:hint="eastAsia" w:ascii="宋体" w:hAnsi="宋体"/>
          <w:color w:val="FF0000"/>
          <w:szCs w:val="21"/>
          <w:highlight w:val="none"/>
          <w:lang w:eastAsia="zh-CN"/>
        </w:rPr>
        <w:t>1500</w:t>
      </w:r>
      <w:r>
        <w:rPr>
          <w:rFonts w:hint="eastAsia" w:ascii="宋体" w:hAnsi="宋体"/>
          <w:color w:val="FF0000"/>
          <w:szCs w:val="21"/>
          <w:highlight w:val="none"/>
        </w:rPr>
        <w:t>余种</w:t>
      </w:r>
      <w:r>
        <w:rPr>
          <w:rFonts w:hint="eastAsia" w:ascii="宋体" w:hAnsi="宋体"/>
          <w:color w:val="000000" w:themeColor="text1"/>
          <w:szCs w:val="21"/>
          <w:highlight w:val="none"/>
          <w14:textFill>
            <w14:solidFill>
              <w14:schemeClr w14:val="tx1"/>
            </w14:solidFill>
          </w14:textFill>
        </w:rPr>
        <w:t>，涵盖中华医学会核心期刊资源并提供版权证明材料</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优先考虑）</w:t>
      </w:r>
      <w:r>
        <w:rPr>
          <w:rFonts w:hint="eastAsia" w:ascii="宋体" w:hAnsi="宋体"/>
          <w:color w:val="000000" w:themeColor="text1"/>
          <w:szCs w:val="21"/>
          <w:highlight w:val="none"/>
          <w14:textFill>
            <w14:solidFill>
              <w14:schemeClr w14:val="tx1"/>
            </w14:solidFill>
          </w14:textFill>
        </w:rPr>
        <w:t>，全数字化出版。医生可以实时打开并下载全文，可进行复制黏贴、保存等功能。</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外文期刊数据库收录外文期刊种类不少于30000余种，涵盖Elsevier、Springer、Ovid、Swetswis、Proquest、Oclc、Sdos、Wiley等国外主流外文数据库资源。数据与PubMed同步；系统应有站内引文索引功能，并标注引出文献的参考和被引文献，文献与参考和被引之间能自由跳转。可及时获取并下载全文，部分需通过邮箱传递全文，响应时间不超过2小时。</w:t>
      </w:r>
    </w:p>
    <w:p>
      <w:pPr>
        <w:pStyle w:val="3"/>
        <w:spacing w:line="44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三、医学电子图书要求</w:t>
      </w:r>
    </w:p>
    <w:p>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1、提供不少于</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0000册医学电子图书。收录人民卫生出版社历年出版的经典图书，包括《实用内科学》、《黄家驷外科学》、《新编药物学》等经典在内的所有参考书，包含至少5万个临床病例，指南、医学图片至少70万幅。</w:t>
      </w:r>
    </w:p>
    <w:p>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2、拥有正版合法版权，电子图书供应商具有一定知名度和信誉。</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图书来源包括但是不限于北京大学医学出版社、中国协和医科大学出版社、北京医科大学出版社、中国医药科技出版社、第二军医大学出版社、中国中医药出版社、第四军医大学出版社、人民卫生出版社、人民科学出版社、上海第二军医大学出版社、科技文献出版社。</w:t>
      </w:r>
    </w:p>
    <w:p>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阅读方式：支持根据图书全文知识点进行检索，采用国内数据库少见的纯网页式的阅读方式，用户可以拷贝粘贴，用于一般性引用；采用在线阅读方式，用户本地不保存内容，内容读取来自网络服务器；国内最细的目录提取：目录提取全部来自正文而不是实体书目录，并深入到最末一级，保证阅读体验。</w:t>
      </w:r>
    </w:p>
    <w:p>
      <w:pPr>
        <w:spacing w:line="360" w:lineRule="auto"/>
        <w:rPr>
          <w:rFonts w:hint="eastAsia" w:ascii="宋体" w:hAnsi="宋体"/>
          <w:szCs w:val="21"/>
        </w:rPr>
      </w:pPr>
    </w:p>
    <w:p>
      <w:pPr>
        <w:widowControl/>
        <w:jc w:val="left"/>
        <w:rPr>
          <w:rFonts w:ascii="宋体"/>
        </w:rPr>
      </w:pPr>
      <w:bookmarkStart w:id="0" w:name="_GoBack"/>
      <w:bookmarkEnd w:id="0"/>
    </w:p>
    <w:sectPr>
      <w:pgSz w:w="11906" w:h="16838"/>
      <w:pgMar w:top="2098" w:right="1803"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35E90"/>
    <w:multiLevelType w:val="multilevel"/>
    <w:tmpl w:val="32A35E90"/>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3A"/>
    <w:rsid w:val="00135BF4"/>
    <w:rsid w:val="005B22A0"/>
    <w:rsid w:val="007351BD"/>
    <w:rsid w:val="009E1FD7"/>
    <w:rsid w:val="00BD073A"/>
    <w:rsid w:val="00BD2690"/>
    <w:rsid w:val="00C97737"/>
    <w:rsid w:val="00E114C6"/>
    <w:rsid w:val="048D36A2"/>
    <w:rsid w:val="0A246DEC"/>
    <w:rsid w:val="0EEE1346"/>
    <w:rsid w:val="1430676E"/>
    <w:rsid w:val="19AC2D71"/>
    <w:rsid w:val="1ABF7434"/>
    <w:rsid w:val="1B6F146F"/>
    <w:rsid w:val="1C090A9B"/>
    <w:rsid w:val="20622BA0"/>
    <w:rsid w:val="2D284F44"/>
    <w:rsid w:val="2FEA5D27"/>
    <w:rsid w:val="30613903"/>
    <w:rsid w:val="30991500"/>
    <w:rsid w:val="33941043"/>
    <w:rsid w:val="342A73E1"/>
    <w:rsid w:val="3715765E"/>
    <w:rsid w:val="3F0D580D"/>
    <w:rsid w:val="3FE531D6"/>
    <w:rsid w:val="438713C7"/>
    <w:rsid w:val="43AF0EF2"/>
    <w:rsid w:val="44C02967"/>
    <w:rsid w:val="45115920"/>
    <w:rsid w:val="45941119"/>
    <w:rsid w:val="4A9504C3"/>
    <w:rsid w:val="58206B98"/>
    <w:rsid w:val="5B7B36F2"/>
    <w:rsid w:val="5FA47DB5"/>
    <w:rsid w:val="5FAE7D32"/>
    <w:rsid w:val="625C05F5"/>
    <w:rsid w:val="63040D36"/>
    <w:rsid w:val="6C9F68FD"/>
    <w:rsid w:val="71CB384D"/>
    <w:rsid w:val="74BB6A1B"/>
    <w:rsid w:val="752C41F0"/>
    <w:rsid w:val="780762E7"/>
    <w:rsid w:val="7825724C"/>
    <w:rsid w:val="7F3312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asciiTheme="minorHAnsi" w:hAnsiTheme="minorHAnsi" w:eastAsiaTheme="minorEastAsia" w:cstheme="minorBidi"/>
      <w:kern w:val="2"/>
      <w:sz w:val="18"/>
      <w:szCs w:val="18"/>
    </w:rPr>
  </w:style>
  <w:style w:type="character" w:customStyle="1" w:styleId="11">
    <w:name w:val="页脚 Char"/>
    <w:basedOn w:val="9"/>
    <w:link w:val="5"/>
    <w:qFormat/>
    <w:uiPriority w:val="0"/>
    <w:rPr>
      <w:rFonts w:asciiTheme="minorHAnsi" w:hAnsiTheme="minorHAnsi" w:eastAsiaTheme="minorEastAsia" w:cstheme="minorBidi"/>
      <w:kern w:val="2"/>
      <w:sz w:val="18"/>
      <w:szCs w:val="18"/>
    </w:rPr>
  </w:style>
  <w:style w:type="paragraph" w:styleId="12">
    <w:name w:val="List Paragraph"/>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134</Words>
  <Characters>768</Characters>
  <Lines>6</Lines>
  <Paragraphs>1</Paragraphs>
  <TotalTime>18</TotalTime>
  <ScaleCrop>false</ScaleCrop>
  <LinksUpToDate>false</LinksUpToDate>
  <CharactersWithSpaces>901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cp:lastPrinted>2021-06-08T05:24:00Z</cp:lastPrinted>
  <dcterms:modified xsi:type="dcterms:W3CDTF">2021-06-09T07:38:36Z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2CA55D7952A14AA98C7653CAF542AF5A</vt:lpwstr>
  </property>
</Properties>
</file>